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7031F" w14:textId="77777777" w:rsidR="0075553D" w:rsidRPr="007E7A0C" w:rsidRDefault="0075553D" w:rsidP="0075553D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2D9F2A73" wp14:editId="4E2C58AA">
            <wp:extent cx="3112008" cy="329184"/>
            <wp:effectExtent l="19050" t="0" r="0" b="0"/>
            <wp:docPr id="2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926E" w14:textId="77777777" w:rsidR="0075553D" w:rsidRPr="007E7A0C" w:rsidRDefault="0075553D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53815B74" w14:textId="1550F1CE" w:rsidR="00805A00" w:rsidRDefault="000408DC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t>Gap Analysi</w:t>
      </w:r>
      <w:r w:rsidR="000062C5">
        <w:rPr>
          <w:rFonts w:asciiTheme="minorHAnsi" w:hAnsiTheme="minorHAnsi"/>
          <w:b/>
          <w:color w:val="003366"/>
          <w:sz w:val="36"/>
          <w:szCs w:val="36"/>
        </w:rPr>
        <w:t>s</w:t>
      </w:r>
      <w:r w:rsidR="00961965">
        <w:rPr>
          <w:rFonts w:asciiTheme="minorHAnsi" w:hAnsiTheme="minorHAnsi"/>
          <w:b/>
          <w:color w:val="003366"/>
          <w:sz w:val="36"/>
          <w:szCs w:val="36"/>
        </w:rPr>
        <w:t xml:space="preserve"> Worksheet</w:t>
      </w:r>
      <w:r w:rsidR="00805A00">
        <w:rPr>
          <w:rFonts w:asciiTheme="minorHAnsi" w:hAnsiTheme="minorHAnsi"/>
          <w:b/>
          <w:color w:val="003366"/>
          <w:sz w:val="36"/>
          <w:szCs w:val="36"/>
        </w:rPr>
        <w:t>:</w:t>
      </w:r>
    </w:p>
    <w:p w14:paraId="249E54A6" w14:textId="4E465C78" w:rsidR="00805A00" w:rsidRPr="00961965" w:rsidRDefault="005605E9" w:rsidP="001F1E41">
      <w:pPr>
        <w:jc w:val="center"/>
        <w:rPr>
          <w:rFonts w:asciiTheme="minorHAnsi" w:hAnsiTheme="minorHAnsi"/>
          <w:b/>
          <w:iCs/>
          <w:color w:val="003366"/>
          <w:sz w:val="36"/>
          <w:szCs w:val="36"/>
        </w:rPr>
      </w:pPr>
      <w:r>
        <w:rPr>
          <w:rFonts w:asciiTheme="minorHAnsi" w:hAnsiTheme="minorHAnsi"/>
          <w:b/>
          <w:i/>
          <w:color w:val="003366"/>
          <w:sz w:val="36"/>
          <w:szCs w:val="36"/>
        </w:rPr>
        <w:t xml:space="preserve">Pain: Prevention, </w:t>
      </w:r>
      <w:r w:rsidR="006A2CDE">
        <w:rPr>
          <w:rFonts w:asciiTheme="minorHAnsi" w:hAnsiTheme="minorHAnsi"/>
          <w:b/>
          <w:i/>
          <w:color w:val="003366"/>
          <w:sz w:val="36"/>
          <w:szCs w:val="36"/>
        </w:rPr>
        <w:t>Assessment and Management</w:t>
      </w:r>
      <w:r w:rsidR="00C2321B">
        <w:rPr>
          <w:rFonts w:asciiTheme="minorHAnsi" w:hAnsiTheme="minorHAnsi"/>
          <w:b/>
          <w:i/>
          <w:color w:val="003366"/>
          <w:sz w:val="36"/>
          <w:szCs w:val="36"/>
        </w:rPr>
        <w:t xml:space="preserve">, </w:t>
      </w:r>
      <w:r w:rsidRPr="00961965">
        <w:rPr>
          <w:rFonts w:asciiTheme="minorHAnsi" w:hAnsiTheme="minorHAnsi"/>
          <w:b/>
          <w:iCs/>
          <w:color w:val="003366"/>
          <w:sz w:val="36"/>
          <w:szCs w:val="36"/>
        </w:rPr>
        <w:t xml:space="preserve">Fourth </w:t>
      </w:r>
      <w:r w:rsidR="006A2CDE" w:rsidRPr="00961965">
        <w:rPr>
          <w:rFonts w:asciiTheme="minorHAnsi" w:hAnsiTheme="minorHAnsi"/>
          <w:b/>
          <w:iCs/>
          <w:color w:val="003366"/>
          <w:sz w:val="36"/>
          <w:szCs w:val="36"/>
        </w:rPr>
        <w:t>Edition</w:t>
      </w:r>
    </w:p>
    <w:p w14:paraId="6922202C" w14:textId="530F068B" w:rsidR="001F1E41" w:rsidRDefault="001F1E41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64BA6AAE" w14:textId="5C0D0657" w:rsidR="005605E9" w:rsidRPr="005605E9" w:rsidRDefault="005605E9" w:rsidP="005605E9">
      <w:pPr>
        <w:jc w:val="center"/>
        <w:rPr>
          <w:rFonts w:asciiTheme="minorHAnsi" w:hAnsiTheme="minorHAnsi"/>
          <w:b/>
          <w:color w:val="003366"/>
          <w:sz w:val="36"/>
          <w:szCs w:val="36"/>
          <w:lang w:val="en-CA"/>
        </w:rPr>
      </w:pPr>
      <w:r w:rsidRPr="005605E9">
        <w:rPr>
          <w:rFonts w:asciiTheme="minorHAnsi" w:hAnsiTheme="minorHAnsi"/>
          <w:b/>
          <w:noProof/>
          <w:color w:val="003366"/>
          <w:sz w:val="36"/>
          <w:szCs w:val="36"/>
          <w:lang w:val="en-CA"/>
        </w:rPr>
        <w:drawing>
          <wp:inline distT="0" distB="0" distL="0" distR="0" wp14:anchorId="02111760" wp14:editId="2E3D4F98">
            <wp:extent cx="3311535" cy="4297805"/>
            <wp:effectExtent l="0" t="0" r="3175" b="7620"/>
            <wp:docPr id="20133502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44" cy="430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512B" w14:textId="77777777" w:rsidR="005605E9" w:rsidRPr="007E7A0C" w:rsidRDefault="005605E9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5D3916D8" w14:textId="77777777" w:rsidR="00E82AEE" w:rsidRPr="007E7A0C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5A101EC2" w14:textId="77777777" w:rsidR="0064106C" w:rsidRDefault="0064106C" w:rsidP="0064106C">
      <w:pPr>
        <w:jc w:val="center"/>
        <w:rPr>
          <w:rFonts w:asciiTheme="minorHAnsi" w:hAnsiTheme="minorHAnsi"/>
          <w:color w:val="003366"/>
          <w:sz w:val="22"/>
          <w:szCs w:val="22"/>
        </w:rPr>
      </w:pPr>
      <w:r w:rsidRPr="00963734">
        <w:rPr>
          <w:rFonts w:asciiTheme="minorHAnsi" w:hAnsiTheme="minorHAnsi"/>
          <w:color w:val="003366"/>
          <w:sz w:val="22"/>
          <w:szCs w:val="22"/>
        </w:rPr>
        <w:t xml:space="preserve">This guideline can </w:t>
      </w:r>
      <w:proofErr w:type="gramStart"/>
      <w:r w:rsidRPr="00963734">
        <w:rPr>
          <w:rFonts w:asciiTheme="minorHAnsi" w:hAnsiTheme="minorHAnsi"/>
          <w:color w:val="003366"/>
          <w:sz w:val="22"/>
          <w:szCs w:val="22"/>
        </w:rPr>
        <w:t>be downloaded</w:t>
      </w:r>
      <w:proofErr w:type="gramEnd"/>
      <w:r w:rsidRPr="00963734">
        <w:rPr>
          <w:rFonts w:asciiTheme="minorHAnsi" w:hAnsiTheme="minorHAnsi"/>
          <w:color w:val="003366"/>
          <w:sz w:val="22"/>
          <w:szCs w:val="22"/>
        </w:rPr>
        <w:t xml:space="preserve"> for free at:</w:t>
      </w:r>
    </w:p>
    <w:p w14:paraId="2D3C9A9D" w14:textId="36B9A2B6" w:rsidR="006A2CDE" w:rsidRDefault="005605E9" w:rsidP="00963734">
      <w:pPr>
        <w:jc w:val="center"/>
        <w:rPr>
          <w:rFonts w:asciiTheme="minorHAnsi" w:hAnsiTheme="minorHAnsi"/>
          <w:color w:val="003366"/>
          <w:szCs w:val="4"/>
        </w:rPr>
      </w:pPr>
      <w:hyperlink r:id="rId9" w:history="1">
        <w:r w:rsidRPr="005605E9">
          <w:rPr>
            <w:rStyle w:val="Hyperlink"/>
            <w:rFonts w:asciiTheme="minorHAnsi" w:hAnsiTheme="minorHAnsi"/>
            <w:szCs w:val="4"/>
          </w:rPr>
          <w:t>Assessment and Management of Pain | RNAO.ca</w:t>
        </w:r>
      </w:hyperlink>
    </w:p>
    <w:p w14:paraId="1C9B12D0" w14:textId="77777777" w:rsidR="006A2CDE" w:rsidRDefault="0064106C" w:rsidP="0064106C">
      <w:pPr>
        <w:jc w:val="center"/>
        <w:rPr>
          <w:rFonts w:asciiTheme="minorHAnsi" w:hAnsiTheme="minorHAnsi"/>
          <w:color w:val="003366"/>
          <w:sz w:val="22"/>
          <w:szCs w:val="22"/>
        </w:rPr>
      </w:pPr>
      <w:r w:rsidRPr="006A2CDE">
        <w:rPr>
          <w:rFonts w:asciiTheme="minorHAnsi" w:hAnsiTheme="minorHAnsi"/>
          <w:color w:val="003366"/>
          <w:sz w:val="22"/>
          <w:szCs w:val="22"/>
        </w:rPr>
        <w:t xml:space="preserve">The </w:t>
      </w:r>
      <w:r w:rsidR="006A2CDE" w:rsidRPr="006A2CDE">
        <w:rPr>
          <w:rFonts w:asciiTheme="minorHAnsi" w:hAnsiTheme="minorHAnsi"/>
          <w:color w:val="003366"/>
          <w:sz w:val="22"/>
          <w:szCs w:val="22"/>
        </w:rPr>
        <w:t>Leading Change</w:t>
      </w:r>
      <w:r w:rsidRPr="006A2CDE">
        <w:rPr>
          <w:rFonts w:asciiTheme="minorHAnsi" w:hAnsiTheme="minorHAnsi"/>
          <w:color w:val="003366"/>
          <w:sz w:val="22"/>
          <w:szCs w:val="22"/>
        </w:rPr>
        <w:t xml:space="preserve"> Toolkit</w:t>
      </w:r>
      <w:r w:rsidR="006A2CDE">
        <w:rPr>
          <w:rFonts w:asciiTheme="minorHAnsi" w:hAnsiTheme="minorHAnsi"/>
          <w:color w:val="003366"/>
          <w:sz w:val="22"/>
          <w:szCs w:val="22"/>
        </w:rPr>
        <w:t xml:space="preserve"> (Fourth Edition)</w:t>
      </w:r>
      <w:r w:rsidRPr="006A2CDE">
        <w:rPr>
          <w:rFonts w:asciiTheme="minorHAnsi" w:hAnsiTheme="minorHAnsi"/>
          <w:color w:val="003366"/>
          <w:sz w:val="22"/>
          <w:szCs w:val="22"/>
        </w:rPr>
        <w:t xml:space="preserve"> is also available</w:t>
      </w:r>
      <w:r w:rsidRPr="00963734">
        <w:rPr>
          <w:rFonts w:asciiTheme="minorHAnsi" w:hAnsiTheme="minorHAnsi"/>
          <w:color w:val="003366"/>
          <w:sz w:val="22"/>
          <w:szCs w:val="22"/>
        </w:rPr>
        <w:t xml:space="preserve"> at:</w:t>
      </w:r>
      <w:r w:rsidR="006A2CDE">
        <w:rPr>
          <w:rFonts w:asciiTheme="minorHAnsi" w:hAnsiTheme="minorHAnsi"/>
          <w:color w:val="003366"/>
          <w:sz w:val="22"/>
          <w:szCs w:val="22"/>
        </w:rPr>
        <w:t xml:space="preserve"> </w:t>
      </w:r>
    </w:p>
    <w:bookmarkStart w:id="0" w:name="_Hlk180745102"/>
    <w:p w14:paraId="790552C3" w14:textId="264E157D" w:rsidR="0064106C" w:rsidRPr="00963734" w:rsidRDefault="006A2CDE" w:rsidP="0064106C">
      <w:pPr>
        <w:jc w:val="center"/>
        <w:rPr>
          <w:rFonts w:asciiTheme="minorHAnsi" w:hAnsiTheme="minorHAnsi"/>
          <w:color w:val="003366"/>
          <w:sz w:val="22"/>
          <w:szCs w:val="22"/>
        </w:rPr>
      </w:pPr>
      <w:r w:rsidRPr="006A2CDE">
        <w:rPr>
          <w:rFonts w:asciiTheme="minorHAnsi" w:hAnsiTheme="minorHAnsi"/>
          <w:color w:val="003366"/>
          <w:sz w:val="22"/>
          <w:szCs w:val="22"/>
        </w:rPr>
        <w:fldChar w:fldCharType="begin"/>
      </w:r>
      <w:r w:rsidRPr="006A2CDE">
        <w:rPr>
          <w:rFonts w:asciiTheme="minorHAnsi" w:hAnsiTheme="minorHAnsi"/>
          <w:color w:val="003366"/>
          <w:sz w:val="22"/>
          <w:szCs w:val="22"/>
        </w:rPr>
        <w:instrText>HYPERLINK "https://rnao.ca/bpg/leading-change-toolkit"</w:instrText>
      </w:r>
      <w:r w:rsidRPr="006A2CDE">
        <w:rPr>
          <w:rFonts w:asciiTheme="minorHAnsi" w:hAnsiTheme="minorHAnsi"/>
          <w:color w:val="003366"/>
          <w:sz w:val="22"/>
          <w:szCs w:val="22"/>
        </w:rPr>
      </w:r>
      <w:r w:rsidRPr="006A2CDE">
        <w:rPr>
          <w:rFonts w:asciiTheme="minorHAnsi" w:hAnsiTheme="minorHAnsi"/>
          <w:color w:val="003366"/>
          <w:sz w:val="22"/>
          <w:szCs w:val="22"/>
        </w:rPr>
        <w:fldChar w:fldCharType="separate"/>
      </w:r>
      <w:r w:rsidRPr="006A2CDE">
        <w:rPr>
          <w:rStyle w:val="Hyperlink"/>
          <w:rFonts w:asciiTheme="minorHAnsi" w:hAnsiTheme="minorHAnsi"/>
          <w:sz w:val="22"/>
          <w:szCs w:val="22"/>
        </w:rPr>
        <w:t>The Leading Change Toolkit (Fourth edition) | RNAO.ca</w:t>
      </w:r>
      <w:r w:rsidRPr="006A2CDE">
        <w:rPr>
          <w:rFonts w:asciiTheme="minorHAnsi" w:hAnsiTheme="minorHAnsi"/>
          <w:color w:val="003366"/>
          <w:sz w:val="22"/>
          <w:szCs w:val="22"/>
        </w:rPr>
        <w:fldChar w:fldCharType="end"/>
      </w:r>
    </w:p>
    <w:bookmarkEnd w:id="0"/>
    <w:p w14:paraId="5DCF1789" w14:textId="77777777" w:rsidR="0030475F" w:rsidRPr="007E7A0C" w:rsidRDefault="0030475F">
      <w:pPr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br w:type="page"/>
      </w:r>
    </w:p>
    <w:p w14:paraId="6CC6CED0" w14:textId="77777777" w:rsidR="00796EE6" w:rsidRPr="007E7A0C" w:rsidRDefault="00796EE6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  <w:sectPr w:rsidR="00796EE6" w:rsidRPr="007E7A0C" w:rsidSect="0030475F">
          <w:footerReference w:type="default" r:id="rId10"/>
          <w:pgSz w:w="12240" w:h="15840" w:code="1"/>
          <w:pgMar w:top="1440" w:right="1008" w:bottom="864" w:left="1008" w:header="576" w:footer="576" w:gutter="0"/>
          <w:pgBorders w:display="firstPage" w:offsetFrom="page">
            <w:top w:val="single" w:sz="24" w:space="24" w:color="008080"/>
            <w:left w:val="single" w:sz="24" w:space="24" w:color="008080"/>
            <w:bottom w:val="single" w:sz="24" w:space="24" w:color="008080"/>
            <w:right w:val="single" w:sz="24" w:space="24" w:color="008080"/>
          </w:pgBorders>
          <w:cols w:space="720"/>
          <w:vAlign w:val="center"/>
          <w:titlePg/>
          <w:docGrid w:linePitch="360"/>
        </w:sectPr>
      </w:pPr>
    </w:p>
    <w:p w14:paraId="74FE858E" w14:textId="77777777" w:rsidR="006C2719" w:rsidRPr="00226FB9" w:rsidRDefault="006C2719" w:rsidP="006C2719">
      <w:pPr>
        <w:rPr>
          <w:rFonts w:asciiTheme="minorHAnsi" w:hAnsiTheme="minorHAnsi" w:cstheme="minorHAnsi"/>
          <w:b/>
          <w:color w:val="E83E02"/>
        </w:rPr>
      </w:pPr>
      <w:r w:rsidRPr="00226FB9">
        <w:rPr>
          <w:rFonts w:asciiTheme="minorHAnsi" w:hAnsiTheme="minorHAnsi" w:cstheme="minorHAnsi"/>
          <w:b/>
          <w:color w:val="E83E02"/>
        </w:rPr>
        <w:lastRenderedPageBreak/>
        <w:t xml:space="preserve">What is </w:t>
      </w:r>
      <w:proofErr w:type="gramStart"/>
      <w:r w:rsidRPr="00226FB9">
        <w:rPr>
          <w:rFonts w:asciiTheme="minorHAnsi" w:hAnsiTheme="minorHAnsi" w:cstheme="minorHAnsi"/>
          <w:b/>
          <w:color w:val="E83E02"/>
        </w:rPr>
        <w:t>a Gap</w:t>
      </w:r>
      <w:proofErr w:type="gramEnd"/>
      <w:r w:rsidRPr="00226FB9">
        <w:rPr>
          <w:rFonts w:asciiTheme="minorHAnsi" w:hAnsiTheme="minorHAnsi" w:cstheme="minorHAnsi"/>
          <w:b/>
          <w:color w:val="E83E02"/>
        </w:rPr>
        <w:t xml:space="preserve"> Analysis?</w:t>
      </w:r>
    </w:p>
    <w:p w14:paraId="0E97E89D" w14:textId="77777777" w:rsidR="00626438" w:rsidRPr="00226FB9" w:rsidRDefault="00626438" w:rsidP="006C2719">
      <w:pPr>
        <w:rPr>
          <w:rFonts w:asciiTheme="minorHAnsi" w:hAnsiTheme="minorHAnsi" w:cstheme="minorHAnsi"/>
          <w:b/>
          <w:color w:val="E83E02"/>
        </w:rPr>
      </w:pPr>
    </w:p>
    <w:p w14:paraId="63568B13" w14:textId="77777777" w:rsidR="006C2719" w:rsidRPr="00226FB9" w:rsidRDefault="006C2719" w:rsidP="006C2719">
      <w:pPr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>A process comparing your organization’s current practice with evidence-based best practice recommendations to determine:</w:t>
      </w:r>
    </w:p>
    <w:p w14:paraId="0A2246BA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Existing practices and processes that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are currently implemented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and supported by best practices. This information is useful to reinforce practice strengths.</w:t>
      </w:r>
    </w:p>
    <w:p w14:paraId="5FFFF37B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Recommendations that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are currently partially implemented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in practice. These would be good first targets for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change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efforts.</w:t>
      </w:r>
    </w:p>
    <w:p w14:paraId="792CB270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Recommendations that are not currently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being met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42C65D16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>Recommendations that are not applicable to your practice setting.</w:t>
      </w:r>
    </w:p>
    <w:p w14:paraId="4EEDEC22" w14:textId="77777777" w:rsidR="006C2719" w:rsidRPr="00226FB9" w:rsidRDefault="006C2719" w:rsidP="006C2719">
      <w:pPr>
        <w:rPr>
          <w:rFonts w:asciiTheme="minorHAnsi" w:hAnsiTheme="minorHAnsi" w:cstheme="minorHAnsi"/>
          <w:b/>
          <w:color w:val="E83E02"/>
        </w:rPr>
      </w:pPr>
      <w:r w:rsidRPr="00226FB9">
        <w:rPr>
          <w:rFonts w:asciiTheme="minorHAnsi" w:hAnsiTheme="minorHAnsi" w:cstheme="minorHAnsi"/>
          <w:b/>
          <w:color w:val="E83E02"/>
        </w:rPr>
        <w:t xml:space="preserve"> </w:t>
      </w:r>
    </w:p>
    <w:p w14:paraId="1888B7B6" w14:textId="77777777" w:rsidR="006C2719" w:rsidRPr="00226FB9" w:rsidRDefault="006C2719" w:rsidP="006C2719">
      <w:pPr>
        <w:rPr>
          <w:rFonts w:asciiTheme="minorHAnsi" w:hAnsiTheme="minorHAnsi" w:cstheme="minorHAnsi"/>
          <w:b/>
          <w:color w:val="E83E02"/>
        </w:rPr>
      </w:pPr>
      <w:r w:rsidRPr="00226FB9">
        <w:rPr>
          <w:rFonts w:asciiTheme="minorHAnsi" w:hAnsiTheme="minorHAnsi" w:cstheme="minorHAnsi"/>
          <w:b/>
          <w:color w:val="E83E02"/>
        </w:rPr>
        <w:br w:type="column"/>
      </w:r>
      <w:r w:rsidRPr="00226FB9">
        <w:rPr>
          <w:rFonts w:asciiTheme="minorHAnsi" w:hAnsiTheme="minorHAnsi" w:cstheme="minorHAnsi"/>
          <w:b/>
          <w:color w:val="E83E02"/>
        </w:rPr>
        <w:t>Uses of a Gap Analysis</w:t>
      </w:r>
    </w:p>
    <w:p w14:paraId="4FFC6F0C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>Contributes to annual evaluation by allowing you to compare practice from year to year and choose which areas to focus on changing within the year.</w:t>
      </w:r>
    </w:p>
    <w:p w14:paraId="223D0676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Focuses on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needed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practice change which prevents a total overhaul of practice and builds on established practices and processes. </w:t>
      </w:r>
    </w:p>
    <w:p w14:paraId="1A2DB450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>Informs next steps such as development of infrastructure to support implementation, partnership engagement, identification of barriers and facilitators, resource requirements, selection of implementation strategies and evaluation approaches.</w:t>
      </w:r>
    </w:p>
    <w:p w14:paraId="34DA657D" w14:textId="185DC721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  <w:sectPr w:rsidR="006C2719" w:rsidRPr="00226FB9" w:rsidSect="006C2719">
          <w:pgSz w:w="11088" w:h="15840"/>
          <w:pgMar w:top="720" w:right="720" w:bottom="720" w:left="720" w:header="706" w:footer="706" w:gutter="0"/>
          <w:cols w:num="2" w:space="360"/>
          <w:docGrid w:linePitch="360"/>
        </w:sectPr>
      </w:pPr>
      <w:r w:rsidRPr="00226FB9">
        <w:rPr>
          <w:rFonts w:asciiTheme="minorHAnsi" w:hAnsiTheme="minorHAnsi" w:cstheme="minorHAnsi"/>
          <w:sz w:val="21"/>
          <w:szCs w:val="21"/>
        </w:rPr>
        <w:t xml:space="preserve">Leads to sustained practice change by informing plans related to process, staff and organization and reinforces current evidence-based </w:t>
      </w:r>
      <w:proofErr w:type="spellStart"/>
      <w:r w:rsidRPr="00226FB9">
        <w:rPr>
          <w:rFonts w:asciiTheme="minorHAnsi" w:hAnsiTheme="minorHAnsi" w:cstheme="minorHAnsi"/>
          <w:sz w:val="21"/>
          <w:szCs w:val="21"/>
        </w:rPr>
        <w:t>pract</w:t>
      </w:r>
      <w:proofErr w:type="spellEnd"/>
    </w:p>
    <w:p w14:paraId="39742EA6" w14:textId="77777777" w:rsidR="006C2719" w:rsidRPr="00226FB9" w:rsidRDefault="006C2719" w:rsidP="006C2719">
      <w:pPr>
        <w:rPr>
          <w:rFonts w:asciiTheme="minorHAnsi" w:hAnsiTheme="minorHAnsi" w:cstheme="minorHAnsi"/>
          <w:b/>
          <w:color w:val="E83E02"/>
        </w:rPr>
      </w:pPr>
      <w:r w:rsidRPr="00226FB9">
        <w:rPr>
          <w:rFonts w:asciiTheme="minorHAnsi" w:hAnsiTheme="minorHAnsi" w:cstheme="minorHAnsi"/>
          <w:b/>
          <w:color w:val="E83E02"/>
        </w:rPr>
        <w:t>Conducting a Gap Analysis</w:t>
      </w:r>
    </w:p>
    <w:p w14:paraId="4318A991" w14:textId="001F459F" w:rsidR="006C2719" w:rsidRPr="00226FB9" w:rsidRDefault="006C2719" w:rsidP="006C2719">
      <w:pPr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Engage the team, and internal and external </w:t>
      </w:r>
      <w:r w:rsidR="00226FB9" w:rsidRPr="00226FB9">
        <w:rPr>
          <w:rFonts w:asciiTheme="minorHAnsi" w:hAnsiTheme="minorHAnsi" w:cstheme="minorHAnsi"/>
          <w:sz w:val="21"/>
          <w:szCs w:val="21"/>
        </w:rPr>
        <w:t>i</w:t>
      </w:r>
      <w:r w:rsidRPr="00226FB9">
        <w:rPr>
          <w:rFonts w:asciiTheme="minorHAnsi" w:hAnsiTheme="minorHAnsi" w:cstheme="minorHAnsi"/>
          <w:sz w:val="21"/>
          <w:szCs w:val="21"/>
        </w:rPr>
        <w:t xml:space="preserve">ndividuals and teams as needed in gathering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information</w:t>
      </w:r>
      <w:proofErr w:type="gramEnd"/>
    </w:p>
    <w:p w14:paraId="0742082F" w14:textId="0E3C1E51" w:rsidR="00226FB9" w:rsidRPr="00226FB9" w:rsidRDefault="006C2719" w:rsidP="006C2719">
      <w:pPr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 for the gap analysis.</w:t>
      </w:r>
    </w:p>
    <w:p w14:paraId="6400A597" w14:textId="77777777" w:rsidR="00226FB9" w:rsidRPr="00226FB9" w:rsidRDefault="00226FB9" w:rsidP="006C2719">
      <w:pPr>
        <w:rPr>
          <w:rFonts w:asciiTheme="minorHAnsi" w:hAnsiTheme="minorHAnsi" w:cstheme="minorHAnsi"/>
          <w:sz w:val="21"/>
          <w:szCs w:val="21"/>
        </w:rPr>
      </w:pPr>
    </w:p>
    <w:p w14:paraId="242DEAFB" w14:textId="427B1784" w:rsidR="006C2719" w:rsidRPr="00226FB9" w:rsidRDefault="006C2719" w:rsidP="006C2719">
      <w:pPr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>Collect information on:</w:t>
      </w:r>
    </w:p>
    <w:p w14:paraId="109C67B8" w14:textId="77777777" w:rsidR="006C2719" w:rsidRPr="00226FB9" w:rsidRDefault="006C2719" w:rsidP="006C271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1"/>
          <w:szCs w:val="21"/>
        </w:rPr>
        <w:sectPr w:rsidR="006C2719" w:rsidRPr="00226FB9" w:rsidSect="006C2719">
          <w:type w:val="continuous"/>
          <w:pgSz w:w="11088" w:h="15840"/>
          <w:pgMar w:top="720" w:right="720" w:bottom="720" w:left="720" w:header="706" w:footer="706" w:gutter="0"/>
          <w:cols w:space="708"/>
          <w:docGrid w:linePitch="360"/>
        </w:sectPr>
      </w:pPr>
    </w:p>
    <w:p w14:paraId="5B43AAB9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>Current practice – is it known and is it consistent? (met, unmet, partially met)</w:t>
      </w:r>
    </w:p>
    <w:p w14:paraId="4DF973D7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Partially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met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recommendations may only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be implemented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in some parts of the home, or you may feel it is only half done. </w:t>
      </w:r>
    </w:p>
    <w:p w14:paraId="75DDE9E0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Are there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some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recommendations that must be implemented before others? </w:t>
      </w:r>
    </w:p>
    <w:p w14:paraId="5D62305B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Can any recommendations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be implemented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quickly? These are easy wins and build confidence in the change.</w:t>
      </w:r>
    </w:p>
    <w:p w14:paraId="05D45628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Are there any barriers to implementation? These may include staffing, skill mix, budget, workload issues,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etc.</w:t>
      </w:r>
      <w:proofErr w:type="gramEnd"/>
    </w:p>
    <w:p w14:paraId="3DF9EBA9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What are the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time frames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in relation to specific actions and people or departments who can support the change effort? </w:t>
      </w:r>
    </w:p>
    <w:p w14:paraId="37D295E6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>Are there links with other practices and programs in the organization?</w:t>
      </w:r>
    </w:p>
    <w:p w14:paraId="24CD7ACA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>Are there existing resources and education that your organization can access?</w:t>
      </w:r>
    </w:p>
    <w:p w14:paraId="79EC4FE0" w14:textId="77777777" w:rsidR="006C2719" w:rsidRPr="00226FB9" w:rsidRDefault="006C2719" w:rsidP="006C2719">
      <w:pPr>
        <w:pStyle w:val="ListParagraph"/>
        <w:numPr>
          <w:ilvl w:val="0"/>
          <w:numId w:val="16"/>
        </w:numPr>
        <w:ind w:left="180" w:hanging="180"/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Are there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any must-do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recommendations that are crucial to resident and staff safety?</w:t>
      </w:r>
    </w:p>
    <w:p w14:paraId="79C142ED" w14:textId="77777777" w:rsidR="006C2719" w:rsidRPr="00226FB9" w:rsidRDefault="006C2719" w:rsidP="006C2719">
      <w:pPr>
        <w:rPr>
          <w:rFonts w:asciiTheme="minorHAnsi" w:hAnsiTheme="minorHAnsi" w:cstheme="minorHAnsi"/>
          <w:b/>
          <w:color w:val="E83E02"/>
        </w:rPr>
        <w:sectPr w:rsidR="006C2719" w:rsidRPr="00226FB9" w:rsidSect="006C2719">
          <w:type w:val="continuous"/>
          <w:pgSz w:w="11088" w:h="15840"/>
          <w:pgMar w:top="720" w:right="720" w:bottom="720" w:left="720" w:header="706" w:footer="706" w:gutter="0"/>
          <w:cols w:num="2" w:space="360"/>
          <w:docGrid w:linePitch="360"/>
        </w:sectPr>
      </w:pPr>
    </w:p>
    <w:p w14:paraId="32966F6E" w14:textId="13C646DA" w:rsidR="006C2719" w:rsidRPr="00226FB9" w:rsidRDefault="00445972" w:rsidP="006C2719">
      <w:pPr>
        <w:rPr>
          <w:rFonts w:asciiTheme="minorHAnsi" w:hAnsiTheme="minorHAnsi" w:cstheme="minorHAnsi"/>
          <w:b/>
          <w:color w:val="E83E02"/>
          <w:sz w:val="20"/>
        </w:rPr>
        <w:sectPr w:rsidR="006C2719" w:rsidRPr="00226FB9" w:rsidSect="006C2719">
          <w:type w:val="continuous"/>
          <w:pgSz w:w="11088" w:h="15840"/>
          <w:pgMar w:top="720" w:right="720" w:bottom="720" w:left="720" w:header="706" w:footer="706" w:gutter="0"/>
          <w:cols w:space="708"/>
          <w:docGrid w:linePitch="360"/>
        </w:sectPr>
      </w:pPr>
      <w:r w:rsidRPr="00226FB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49031E1" wp14:editId="5791D35B">
                <wp:simplePos x="0" y="0"/>
                <wp:positionH relativeFrom="column">
                  <wp:posOffset>3177540</wp:posOffset>
                </wp:positionH>
                <wp:positionV relativeFrom="paragraph">
                  <wp:posOffset>84455</wp:posOffset>
                </wp:positionV>
                <wp:extent cx="3215640" cy="3263900"/>
                <wp:effectExtent l="0" t="0" r="0" b="0"/>
                <wp:wrapNone/>
                <wp:docPr id="162305149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5640" cy="3263900"/>
                        </a:xfrm>
                        <a:prstGeom prst="rect">
                          <a:avLst/>
                        </a:prstGeom>
                        <a:solidFill>
                          <a:srgbClr val="66FF33">
                            <a:alpha val="33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2296B" id="Rectangle 3" o:spid="_x0000_s1026" style="position:absolute;margin-left:250.2pt;margin-top:6.65pt;width:253.2pt;height:25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" fillcolor="#6f3" stroked="f">
                <v:fill opacity="21588f"/>
              </v:rect>
            </w:pict>
          </mc:Fallback>
        </mc:AlternateContent>
      </w:r>
    </w:p>
    <w:p w14:paraId="503D97CA" w14:textId="77777777" w:rsidR="006C2719" w:rsidRPr="00226FB9" w:rsidRDefault="006C2719" w:rsidP="006C2719">
      <w:pPr>
        <w:rPr>
          <w:rFonts w:asciiTheme="minorHAnsi" w:hAnsiTheme="minorHAnsi" w:cstheme="minorHAnsi"/>
          <w:b/>
          <w:color w:val="E83E02"/>
        </w:rPr>
      </w:pPr>
      <w:r w:rsidRPr="00226FB9">
        <w:rPr>
          <w:rFonts w:asciiTheme="minorHAnsi" w:hAnsiTheme="minorHAnsi" w:cstheme="minorHAnsi"/>
          <w:b/>
          <w:color w:val="E83E02"/>
        </w:rPr>
        <w:t>Next Steps</w:t>
      </w:r>
    </w:p>
    <w:p w14:paraId="65F50F80" w14:textId="77777777" w:rsidR="006C2719" w:rsidRPr="00226FB9" w:rsidRDefault="006C2719" w:rsidP="006C2719">
      <w:pPr>
        <w:numPr>
          <w:ilvl w:val="0"/>
          <w:numId w:val="17"/>
        </w:numPr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Celebrate the recommendations you are meeting. </w:t>
      </w:r>
    </w:p>
    <w:p w14:paraId="056089A7" w14:textId="77777777" w:rsidR="006C2719" w:rsidRPr="00226FB9" w:rsidRDefault="006C2719" w:rsidP="006C2719">
      <w:pPr>
        <w:numPr>
          <w:ilvl w:val="0"/>
          <w:numId w:val="17"/>
        </w:numPr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Prioritize the areas you want to work on. Start with practice changes that can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be made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easily or are crucial to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resident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 and staff safety. Start by reinforcing success and focusing on quick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wins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>.</w:t>
      </w:r>
    </w:p>
    <w:p w14:paraId="638D9193" w14:textId="77777777" w:rsidR="006C2719" w:rsidRPr="00226FB9" w:rsidRDefault="006C2719" w:rsidP="006C2719">
      <w:pPr>
        <w:numPr>
          <w:ilvl w:val="0"/>
          <w:numId w:val="17"/>
        </w:numPr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These priority areas become the foundation for planning your program or implementing practice </w:t>
      </w:r>
      <w:proofErr w:type="gramStart"/>
      <w:r w:rsidRPr="00226FB9">
        <w:rPr>
          <w:rFonts w:asciiTheme="minorHAnsi" w:hAnsiTheme="minorHAnsi" w:cstheme="minorHAnsi"/>
          <w:sz w:val="21"/>
          <w:szCs w:val="21"/>
        </w:rPr>
        <w:t>change</w:t>
      </w:r>
      <w:proofErr w:type="gramEnd"/>
      <w:r w:rsidRPr="00226FB9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4916A04D" w14:textId="6EDA6562" w:rsidR="006C2719" w:rsidRPr="00226FB9" w:rsidRDefault="006C2719" w:rsidP="006C2719">
      <w:pPr>
        <w:numPr>
          <w:ilvl w:val="0"/>
          <w:numId w:val="17"/>
        </w:numPr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sz w:val="21"/>
          <w:szCs w:val="21"/>
        </w:rPr>
        <w:t xml:space="preserve">For more information on taking your gap analysis to the next level see </w:t>
      </w:r>
      <w:hyperlink r:id="rId11" w:history="1">
        <w:r w:rsidRPr="00226FB9">
          <w:rPr>
            <w:rStyle w:val="Hyperlink"/>
            <w:rFonts w:asciiTheme="minorHAnsi" w:hAnsiTheme="minorHAnsi" w:cstheme="minorHAnsi"/>
            <w:sz w:val="21"/>
            <w:szCs w:val="21"/>
          </w:rPr>
          <w:t>The Leading Change Toolkit (Fourth edition) | RNAO.ca</w:t>
        </w:r>
      </w:hyperlink>
    </w:p>
    <w:p w14:paraId="04107308" w14:textId="41A3910D" w:rsidR="006C2719" w:rsidRPr="00226FB9" w:rsidRDefault="00445972" w:rsidP="006C2719">
      <w:pPr>
        <w:rPr>
          <w:rFonts w:asciiTheme="minorHAnsi" w:hAnsiTheme="minorHAnsi" w:cstheme="minorHAnsi"/>
          <w:sz w:val="21"/>
          <w:szCs w:val="21"/>
        </w:rPr>
      </w:pPr>
      <w:r w:rsidRPr="00226FB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5F5001" wp14:editId="071151E2">
                <wp:simplePos x="0" y="0"/>
                <wp:positionH relativeFrom="margin">
                  <wp:align>left</wp:align>
                </wp:positionH>
                <wp:positionV relativeFrom="paragraph">
                  <wp:posOffset>27840</wp:posOffset>
                </wp:positionV>
                <wp:extent cx="3176337" cy="583531"/>
                <wp:effectExtent l="0" t="0" r="5080" b="7620"/>
                <wp:wrapNone/>
                <wp:docPr id="1756392287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6337" cy="5835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FA65C9" w14:textId="77777777" w:rsidR="006C2719" w:rsidRPr="00226FB9" w:rsidRDefault="006C2719" w:rsidP="006C2719">
                            <w:pP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  <w:lang w:eastAsia="en-CA"/>
                              </w:rPr>
                            </w:pPr>
                            <w:r w:rsidRPr="00226FB9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  <w:lang w:eastAsia="en-CA"/>
                              </w:rPr>
                              <w:t>Long-Term Care Homes:</w:t>
                            </w:r>
                          </w:p>
                          <w:p w14:paraId="201F8A04" w14:textId="77777777" w:rsidR="006C2719" w:rsidRPr="00226FB9" w:rsidRDefault="006C2719" w:rsidP="006C2719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26FB9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eastAsia="en-CA"/>
                              </w:rPr>
                              <w:t xml:space="preserve">Contact your Long-Term Care Implementation Coach to assist you in completing a gap analysis. Visit </w:t>
                            </w:r>
                            <w:hyperlink r:id="rId12" w:history="1">
                              <w:r w:rsidRPr="00226FB9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color w:val="FFFFFF" w:themeColor="background1"/>
                                  <w:sz w:val="18"/>
                                  <w:szCs w:val="18"/>
                                  <w:lang w:eastAsia="en-CA"/>
                                </w:rPr>
                                <w:t>RNAO.ca/ltc</w:t>
                              </w:r>
                            </w:hyperlink>
                            <w:r w:rsidRPr="00226FB9">
                              <w:rPr>
                                <w:rFonts w:ascii="Calibri" w:hAnsi="Calibri" w:cs="Calibri"/>
                                <w:color w:val="FFFFFF" w:themeColor="background1"/>
                                <w:sz w:val="18"/>
                                <w:szCs w:val="18"/>
                                <w:lang w:eastAsia="en-CA"/>
                              </w:rPr>
                              <w:t>.</w:t>
                            </w:r>
                            <w:r w:rsidRPr="00226FB9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eastAsia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F5001" id="Rectangle: Rounded Corners 1" o:spid="_x0000_s1026" style="position:absolute;margin-left:0;margin-top:2.2pt;width:250.1pt;height:45.9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" fillcolor="black [3200]" stroked="f">
                <v:textbox inset="3.6pt,,3.6pt">
                  <w:txbxContent>
                    <w:p w14:paraId="0BFA65C9" w14:textId="77777777" w:rsidR="006C2719" w:rsidRPr="00226FB9" w:rsidRDefault="006C2719" w:rsidP="006C2719">
                      <w:pPr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  <w:lang w:eastAsia="en-CA"/>
                        </w:rPr>
                      </w:pPr>
                      <w:r w:rsidRPr="00226FB9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  <w:lang w:eastAsia="en-CA"/>
                        </w:rPr>
                        <w:t>Long-Term Care Homes:</w:t>
                      </w:r>
                    </w:p>
                    <w:p w14:paraId="201F8A04" w14:textId="77777777" w:rsidR="006C2719" w:rsidRPr="00226FB9" w:rsidRDefault="006C2719" w:rsidP="006C2719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26FB9">
                        <w:rPr>
                          <w:rFonts w:ascii="Calibri" w:hAnsi="Calibri" w:cs="Calibri"/>
                          <w:sz w:val="18"/>
                          <w:szCs w:val="18"/>
                          <w:lang w:eastAsia="en-CA"/>
                        </w:rPr>
                        <w:t xml:space="preserve">Contact your Long-Term Care Implementation Coach to assist you in completing a gap analysis. Visit </w:t>
                      </w:r>
                      <w:hyperlink r:id="rId13" w:history="1">
                        <w:r w:rsidRPr="00226FB9">
                          <w:rPr>
                            <w:rStyle w:val="Hyperlink"/>
                            <w:rFonts w:ascii="Calibri" w:hAnsi="Calibri" w:cs="Calibri"/>
                            <w:b/>
                            <w:color w:val="FFFFFF" w:themeColor="background1"/>
                            <w:sz w:val="18"/>
                            <w:szCs w:val="18"/>
                            <w:lang w:eastAsia="en-CA"/>
                          </w:rPr>
                          <w:t>RNAO.ca/ltc</w:t>
                        </w:r>
                      </w:hyperlink>
                      <w:r w:rsidRPr="00226FB9">
                        <w:rPr>
                          <w:rFonts w:ascii="Calibri" w:hAnsi="Calibri" w:cs="Calibri"/>
                          <w:color w:val="FFFFFF" w:themeColor="background1"/>
                          <w:sz w:val="18"/>
                          <w:szCs w:val="18"/>
                          <w:lang w:eastAsia="en-CA"/>
                        </w:rPr>
                        <w:t>.</w:t>
                      </w:r>
                      <w:r w:rsidRPr="00226FB9">
                        <w:rPr>
                          <w:rFonts w:ascii="Calibri" w:hAnsi="Calibri" w:cs="Calibri"/>
                          <w:sz w:val="18"/>
                          <w:szCs w:val="18"/>
                          <w:lang w:eastAsia="en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19B135" w14:textId="77777777" w:rsidR="006C2719" w:rsidRPr="00226FB9" w:rsidRDefault="006C2719" w:rsidP="006C2719">
      <w:pPr>
        <w:rPr>
          <w:rFonts w:asciiTheme="minorHAnsi" w:hAnsiTheme="minorHAnsi" w:cstheme="minorHAnsi"/>
          <w:b/>
          <w:color w:val="E83E02"/>
        </w:rPr>
      </w:pPr>
    </w:p>
    <w:p w14:paraId="22AFF3AE" w14:textId="3C1F6728" w:rsidR="006C2719" w:rsidRPr="00226FB9" w:rsidRDefault="006C2719" w:rsidP="006C2719">
      <w:pPr>
        <w:rPr>
          <w:rFonts w:asciiTheme="minorHAnsi" w:hAnsiTheme="minorHAnsi" w:cstheme="minorHAnsi"/>
          <w:b/>
        </w:rPr>
      </w:pPr>
      <w:r w:rsidRPr="00226FB9">
        <w:rPr>
          <w:rFonts w:asciiTheme="minorHAnsi" w:hAnsiTheme="minorHAnsi" w:cstheme="minorHAnsi"/>
          <w:b/>
          <w:bCs/>
          <w:noProof/>
          <w:sz w:val="20"/>
          <w:lang w:eastAsia="en-CA"/>
        </w:rPr>
        <w:drawing>
          <wp:anchor distT="0" distB="0" distL="114300" distR="114300" simplePos="0" relativeHeight="251658240" behindDoc="0" locked="0" layoutInCell="1" allowOverlap="1" wp14:anchorId="456B55CC" wp14:editId="0582A6C1">
            <wp:simplePos x="0" y="0"/>
            <wp:positionH relativeFrom="margin">
              <wp:align>left</wp:align>
            </wp:positionH>
            <wp:positionV relativeFrom="margin">
              <wp:posOffset>8595995</wp:posOffset>
            </wp:positionV>
            <wp:extent cx="2947670" cy="378460"/>
            <wp:effectExtent l="0" t="0" r="5080" b="2540"/>
            <wp:wrapSquare wrapText="bothSides"/>
            <wp:docPr id="5" name="Picture 4" descr="A close-up of a sign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sign&#10;&#10;Description automatically generate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FB9">
        <w:rPr>
          <w:rFonts w:asciiTheme="minorHAnsi" w:hAnsiTheme="minorHAnsi" w:cstheme="minorHAnsi"/>
          <w:b/>
          <w:color w:val="E83E02"/>
        </w:rPr>
        <w:br w:type="column"/>
      </w:r>
      <w:r w:rsidRPr="00226FB9">
        <w:rPr>
          <w:rFonts w:asciiTheme="minorHAnsi" w:hAnsiTheme="minorHAnsi" w:cstheme="minorHAnsi"/>
          <w:b/>
        </w:rPr>
        <w:t>What does certainty of evidence and strength of recommendation mean?</w:t>
      </w:r>
    </w:p>
    <w:p w14:paraId="5324213E" w14:textId="77777777" w:rsidR="006C2719" w:rsidRPr="00226FB9" w:rsidRDefault="006C2719" w:rsidP="006C2719">
      <w:pPr>
        <w:rPr>
          <w:rFonts w:asciiTheme="minorHAnsi" w:hAnsiTheme="minorHAnsi" w:cstheme="minorHAnsi"/>
          <w:b/>
          <w:bCs/>
          <w:sz w:val="20"/>
          <w:lang w:eastAsia="en-CA"/>
        </w:rPr>
      </w:pPr>
    </w:p>
    <w:p w14:paraId="2C1C28DB" w14:textId="77777777" w:rsidR="006C2719" w:rsidRPr="00226FB9" w:rsidRDefault="006C2719" w:rsidP="006C2719">
      <w:pPr>
        <w:rPr>
          <w:rFonts w:asciiTheme="minorHAnsi" w:hAnsiTheme="minorHAnsi" w:cstheme="minorHAnsi"/>
          <w:sz w:val="20"/>
          <w:lang w:eastAsia="en-CA"/>
        </w:rPr>
      </w:pPr>
      <w:r w:rsidRPr="00226FB9">
        <w:rPr>
          <w:rFonts w:asciiTheme="minorHAnsi" w:hAnsiTheme="minorHAnsi" w:cstheme="minorHAnsi"/>
          <w:b/>
          <w:bCs/>
          <w:sz w:val="20"/>
          <w:lang w:eastAsia="en-CA"/>
        </w:rPr>
        <w:t>Certainty/confidence of evidence</w:t>
      </w:r>
      <w:r w:rsidRPr="00226FB9">
        <w:rPr>
          <w:rFonts w:asciiTheme="minorHAnsi" w:hAnsiTheme="minorHAnsi" w:cstheme="minorHAnsi"/>
          <w:sz w:val="20"/>
          <w:lang w:eastAsia="en-CA"/>
        </w:rPr>
        <w:t xml:space="preserve"> (also known as quality of the evidence) is determined by a very rigorous quality appraisal of studies found through a systematic review. Certainty/confidence of evidence can be high (</w:t>
      </w:r>
      <w:proofErr w:type="gramStart"/>
      <w:r w:rsidRPr="00226FB9">
        <w:rPr>
          <w:rFonts w:asciiTheme="minorHAnsi" w:hAnsiTheme="minorHAnsi" w:cstheme="minorHAnsi"/>
          <w:sz w:val="20"/>
          <w:lang w:eastAsia="en-CA"/>
        </w:rPr>
        <w:t>very good</w:t>
      </w:r>
      <w:proofErr w:type="gramEnd"/>
      <w:r w:rsidRPr="00226FB9">
        <w:rPr>
          <w:rFonts w:asciiTheme="minorHAnsi" w:hAnsiTheme="minorHAnsi" w:cstheme="minorHAnsi"/>
          <w:sz w:val="20"/>
          <w:lang w:eastAsia="en-CA"/>
        </w:rPr>
        <w:t xml:space="preserve"> quality), moderate, low or very low (very poor quality).</w:t>
      </w:r>
    </w:p>
    <w:p w14:paraId="0570C4F7" w14:textId="77777777" w:rsidR="006C2719" w:rsidRPr="00226FB9" w:rsidRDefault="006C2719" w:rsidP="006C2719">
      <w:pPr>
        <w:rPr>
          <w:rFonts w:asciiTheme="minorHAnsi" w:hAnsiTheme="minorHAnsi" w:cstheme="minorHAnsi"/>
          <w:sz w:val="20"/>
          <w:lang w:eastAsia="en-CA"/>
        </w:rPr>
      </w:pPr>
      <w:r w:rsidRPr="00226FB9">
        <w:rPr>
          <w:rFonts w:asciiTheme="minorHAnsi" w:hAnsiTheme="minorHAnsi" w:cstheme="minorHAnsi"/>
          <w:b/>
          <w:bCs/>
          <w:sz w:val="20"/>
          <w:lang w:eastAsia="en-CA"/>
        </w:rPr>
        <w:t>Strength of recommendation</w:t>
      </w:r>
      <w:r w:rsidRPr="00226FB9">
        <w:rPr>
          <w:rFonts w:asciiTheme="minorHAnsi" w:hAnsiTheme="minorHAnsi" w:cstheme="minorHAnsi"/>
          <w:sz w:val="20"/>
          <w:lang w:eastAsia="en-CA"/>
        </w:rPr>
        <w:t xml:space="preserve"> reflects the certainty of evidence as well as other factors such as the balance of benefits and harms, values and preferences and health equity considerations. A recommendation can either be strong or conditional.</w:t>
      </w:r>
    </w:p>
    <w:p w14:paraId="151216DE" w14:textId="77777777" w:rsidR="00226FB9" w:rsidRDefault="006C2719" w:rsidP="006C2719">
      <w:pPr>
        <w:rPr>
          <w:rFonts w:asciiTheme="minorHAnsi" w:hAnsiTheme="minorHAnsi" w:cstheme="minorHAnsi"/>
          <w:sz w:val="20"/>
          <w:lang w:eastAsia="en-CA"/>
        </w:rPr>
      </w:pPr>
      <w:r w:rsidRPr="00226FB9">
        <w:rPr>
          <w:rFonts w:asciiTheme="minorHAnsi" w:hAnsiTheme="minorHAnsi" w:cstheme="minorHAnsi"/>
          <w:b/>
          <w:bCs/>
          <w:sz w:val="20"/>
          <w:lang w:eastAsia="en-CA"/>
        </w:rPr>
        <w:t>For more information</w:t>
      </w:r>
      <w:r w:rsidRPr="00226FB9">
        <w:rPr>
          <w:rFonts w:asciiTheme="minorHAnsi" w:hAnsiTheme="minorHAnsi" w:cstheme="minorHAnsi"/>
          <w:sz w:val="20"/>
          <w:lang w:eastAsia="en-CA"/>
        </w:rPr>
        <w:t xml:space="preserve">, please refer to the “Overview of methodology: Good practice statements and recommendations” and “Interpretation of </w:t>
      </w:r>
      <w:proofErr w:type="gramStart"/>
      <w:r w:rsidRPr="00226FB9">
        <w:rPr>
          <w:rFonts w:asciiTheme="minorHAnsi" w:hAnsiTheme="minorHAnsi" w:cstheme="minorHAnsi"/>
          <w:sz w:val="20"/>
          <w:lang w:eastAsia="en-CA"/>
        </w:rPr>
        <w:t>evidence</w:t>
      </w:r>
      <w:proofErr w:type="gramEnd"/>
    </w:p>
    <w:p w14:paraId="1DAC1787" w14:textId="4BB90C1A" w:rsidR="006C2719" w:rsidRPr="00972891" w:rsidRDefault="006C2719" w:rsidP="006C2719">
      <w:pPr>
        <w:rPr>
          <w:sz w:val="20"/>
          <w:lang w:eastAsia="en-CA"/>
        </w:rPr>
        <w:sectPr w:rsidR="006C2719" w:rsidRPr="00972891" w:rsidSect="006C2719">
          <w:type w:val="continuous"/>
          <w:pgSz w:w="11088" w:h="15840"/>
          <w:pgMar w:top="720" w:right="720" w:bottom="720" w:left="720" w:header="706" w:footer="706" w:gutter="0"/>
          <w:cols w:num="2" w:space="708"/>
          <w:docGrid w:linePitch="360"/>
        </w:sectPr>
      </w:pPr>
      <w:r w:rsidRPr="00226FB9">
        <w:rPr>
          <w:rFonts w:asciiTheme="minorHAnsi" w:hAnsiTheme="minorHAnsi" w:cstheme="minorHAnsi"/>
          <w:sz w:val="20"/>
          <w:lang w:eastAsia="en-CA"/>
        </w:rPr>
        <w:t>and recommendation statements” in this best practice guideline.</w:t>
      </w:r>
    </w:p>
    <w:p w14:paraId="21F8FEEB" w14:textId="796AFB6D" w:rsidR="007E7A0C" w:rsidRDefault="007E7A0C">
      <w:pPr>
        <w:rPr>
          <w:rFonts w:asciiTheme="minorHAnsi" w:hAnsiTheme="minorHAnsi"/>
          <w:b/>
          <w:color w:val="003366"/>
          <w:sz w:val="8"/>
          <w:szCs w:val="4"/>
        </w:rPr>
      </w:pPr>
    </w:p>
    <w:p w14:paraId="685852DD" w14:textId="77777777" w:rsidR="00160EE4" w:rsidRPr="007E7A0C" w:rsidRDefault="00160EE4" w:rsidP="00160EE4">
      <w:pPr>
        <w:jc w:val="center"/>
        <w:rPr>
          <w:rFonts w:asciiTheme="minorHAnsi" w:hAnsiTheme="minorHAnsi"/>
          <w:b/>
          <w:color w:val="003366"/>
          <w:sz w:val="8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7E7A0C" w14:paraId="0E40F3E6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1F6FCBCB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1EE9E69E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7E7A0C" w14:paraId="6CB9316C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6CD97061" w14:textId="77777777" w:rsidR="00CE5E7B" w:rsidRPr="007E7A0C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7E7A0C" w14:paraId="6B8BD15E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17A9E390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7E7A0C" w14:paraId="1DCEAEC7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6DEBFCFB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11551083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076737A7" w14:textId="77777777" w:rsidR="00995B62" w:rsidRPr="007E7A0C" w:rsidRDefault="00FE6F55" w:rsidP="00963734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                          </w:t>
            </w:r>
          </w:p>
        </w:tc>
      </w:tr>
      <w:tr w:rsidR="00995B62" w:rsidRPr="007E7A0C" w14:paraId="1CB0928B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13C91C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1B16EF39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E40C16" w14:textId="77777777" w:rsidR="00995B62" w:rsidRPr="007E7A0C" w:rsidRDefault="00FE6F55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</w:t>
            </w:r>
            <w:r w:rsidR="00963734">
              <w:rPr>
                <w:rFonts w:asciiTheme="minorHAnsi" w:hAnsiTheme="minorHAnsi"/>
                <w:b w:val="0"/>
                <w:sz w:val="24"/>
              </w:rPr>
              <w:t xml:space="preserve">         </w:t>
            </w:r>
          </w:p>
        </w:tc>
      </w:tr>
      <w:tr w:rsidR="00995B62" w:rsidRPr="007E7A0C" w14:paraId="73E69BE0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F29D36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4285FBBB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1709FB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70F6DB54" w14:textId="77777777" w:rsidR="00A10D6E" w:rsidRPr="007E7A0C" w:rsidRDefault="00A10D6E" w:rsidP="00EF28F6">
      <w:pPr>
        <w:pStyle w:val="headnote-e"/>
        <w:rPr>
          <w:rFonts w:asciiTheme="minorHAnsi" w:hAnsiTheme="minorHAnsi"/>
          <w:sz w:val="20"/>
          <w:szCs w:val="20"/>
        </w:rPr>
      </w:pPr>
    </w:p>
    <w:p w14:paraId="51E2D7CC" w14:textId="77777777" w:rsidR="00DB218B" w:rsidRDefault="00AC2FE1" w:rsidP="00E82AEE">
      <w:pPr>
        <w:rPr>
          <w:rFonts w:asciiTheme="minorHAnsi" w:hAnsiTheme="minorHAnsi"/>
          <w:sz w:val="22"/>
          <w:szCs w:val="22"/>
        </w:rPr>
      </w:pPr>
      <w:r w:rsidRPr="00DB218B">
        <w:rPr>
          <w:rFonts w:asciiTheme="minorHAnsi" w:hAnsiTheme="minorHAnsi"/>
          <w:sz w:val="22"/>
          <w:szCs w:val="22"/>
        </w:rPr>
        <w:t>Completion of this gap analysis allows for the annual comparison of your current practice to evidence-based practices as regulated by the MOHLTC per Fixing Long-Term Care Act, 2021</w:t>
      </w:r>
    </w:p>
    <w:p w14:paraId="16A610AE" w14:textId="6203696B" w:rsidR="00E82AEE" w:rsidRDefault="00AC2FE1" w:rsidP="00E82AEE">
      <w:pPr>
        <w:rPr>
          <w:rFonts w:asciiTheme="minorHAnsi" w:hAnsiTheme="minorHAnsi"/>
          <w:sz w:val="22"/>
          <w:szCs w:val="22"/>
        </w:rPr>
      </w:pPr>
      <w:r w:rsidRPr="00DB218B">
        <w:rPr>
          <w:rFonts w:asciiTheme="minorHAnsi" w:hAnsiTheme="minorHAnsi"/>
          <w:sz w:val="22"/>
          <w:szCs w:val="22"/>
        </w:rPr>
        <w:t>at  </w:t>
      </w:r>
      <w:hyperlink r:id="rId16" w:tgtFrame="_blank" w:history="1">
        <w:r w:rsidRPr="00DB218B">
          <w:rPr>
            <w:rStyle w:val="Hyperlink"/>
            <w:rFonts w:asciiTheme="minorHAnsi" w:hAnsiTheme="minorHAnsi"/>
            <w:sz w:val="22"/>
            <w:szCs w:val="22"/>
          </w:rPr>
          <w:t>https://www.ontario.ca/laws/statute/21f39</w:t>
        </w:r>
      </w:hyperlink>
      <w:r w:rsidRPr="00DB218B">
        <w:rPr>
          <w:rFonts w:asciiTheme="minorHAnsi" w:hAnsiTheme="minorHAnsi"/>
          <w:sz w:val="22"/>
          <w:szCs w:val="22"/>
        </w:rPr>
        <w:t> &amp; </w:t>
      </w:r>
      <w:hyperlink r:id="rId17" w:tgtFrame="_blank" w:history="1">
        <w:r w:rsidRPr="00DB218B">
          <w:rPr>
            <w:rStyle w:val="Hyperlink"/>
            <w:rFonts w:asciiTheme="minorHAnsi" w:hAnsiTheme="minorHAnsi"/>
            <w:sz w:val="22"/>
            <w:szCs w:val="22"/>
          </w:rPr>
          <w:t>O. Reg. 246/22: GENERAL (ontario.ca)</w:t>
        </w:r>
      </w:hyperlink>
      <w:r w:rsidRPr="00DB218B">
        <w:rPr>
          <w:rFonts w:asciiTheme="minorHAnsi" w:hAnsiTheme="minorHAnsi"/>
          <w:sz w:val="22"/>
          <w:szCs w:val="22"/>
        </w:rPr>
        <w:t>. </w:t>
      </w:r>
    </w:p>
    <w:p w14:paraId="061A0CCF" w14:textId="77777777" w:rsidR="00DB0052" w:rsidRPr="00DB218B" w:rsidRDefault="00DB0052" w:rsidP="00E82AEE">
      <w:pPr>
        <w:rPr>
          <w:rFonts w:asciiTheme="minorHAnsi" w:hAnsiTheme="minorHAnsi"/>
          <w:sz w:val="22"/>
          <w:szCs w:val="22"/>
        </w:rPr>
      </w:pPr>
    </w:p>
    <w:p w14:paraId="67E0941E" w14:textId="3F05BE5C" w:rsidR="001332EA" w:rsidRDefault="001332EA" w:rsidP="00DB218B">
      <w:pPr>
        <w:tabs>
          <w:tab w:val="left" w:pos="4692"/>
        </w:tabs>
        <w:rPr>
          <w:rFonts w:asciiTheme="minorHAnsi" w:hAnsiTheme="minorHAnsi"/>
          <w:sz w:val="4"/>
          <w:szCs w:val="4"/>
        </w:rPr>
      </w:pPr>
    </w:p>
    <w:p w14:paraId="63376110" w14:textId="77777777" w:rsidR="00961965" w:rsidRDefault="00961965" w:rsidP="00DB218B">
      <w:pPr>
        <w:tabs>
          <w:tab w:val="left" w:pos="4692"/>
        </w:tabs>
        <w:rPr>
          <w:rFonts w:asciiTheme="minorHAnsi" w:hAnsiTheme="minorHAnsi"/>
          <w:sz w:val="4"/>
          <w:szCs w:val="4"/>
        </w:rPr>
      </w:pPr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04"/>
        <w:gridCol w:w="504"/>
        <w:gridCol w:w="504"/>
        <w:gridCol w:w="5058"/>
      </w:tblGrid>
      <w:tr w:rsidR="00961965" w:rsidRPr="00755D69" w14:paraId="710E049A" w14:textId="77777777" w:rsidTr="00E70F50">
        <w:trPr>
          <w:cantSplit/>
          <w:trHeight w:val="1043"/>
          <w:tblHeader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12592EC7" w14:textId="77777777" w:rsidR="00961965" w:rsidRPr="00755D69" w:rsidRDefault="00961965" w:rsidP="00E70F5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755D69">
              <w:rPr>
                <w:rFonts w:asciiTheme="minorHAnsi" w:hAnsiTheme="minorHAnsi"/>
                <w:b/>
                <w:color w:val="003366"/>
              </w:rPr>
              <w:t xml:space="preserve">RNAO </w:t>
            </w:r>
            <w:r>
              <w:rPr>
                <w:rFonts w:asciiTheme="minorHAnsi" w:hAnsiTheme="minorHAnsi"/>
                <w:b/>
                <w:color w:val="003366"/>
              </w:rPr>
              <w:t xml:space="preserve">Clinical </w:t>
            </w:r>
            <w:r w:rsidRPr="00755D69">
              <w:rPr>
                <w:rFonts w:asciiTheme="minorHAnsi" w:hAnsiTheme="minorHAnsi"/>
                <w:b/>
                <w:color w:val="003366"/>
              </w:rPr>
              <w:t xml:space="preserve">Best Practice Guideline </w:t>
            </w:r>
            <w:r>
              <w:rPr>
                <w:rFonts w:asciiTheme="minorHAnsi" w:hAnsiTheme="minorHAnsi"/>
                <w:b/>
                <w:color w:val="003366"/>
              </w:rPr>
              <w:t xml:space="preserve">Good Practice Statements and </w:t>
            </w:r>
            <w:r w:rsidRPr="00755D69">
              <w:rPr>
                <w:rFonts w:asciiTheme="minorHAnsi" w:hAnsiTheme="minorHAnsi"/>
                <w:b/>
                <w:color w:val="003366"/>
              </w:rPr>
              <w:t>Recommendations</w:t>
            </w:r>
            <w:r>
              <w:rPr>
                <w:rFonts w:asciiTheme="minorHAnsi" w:hAnsiTheme="minorHAnsi"/>
                <w:b/>
                <w:color w:val="003366"/>
              </w:rPr>
              <w:t xml:space="preserve"> 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02643255" w14:textId="77777777" w:rsidR="00961965" w:rsidRPr="00755D69" w:rsidRDefault="00961965" w:rsidP="00E70F50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58EB9688" w14:textId="77777777" w:rsidR="00961965" w:rsidRPr="00755D69" w:rsidRDefault="00961965" w:rsidP="00E70F50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 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60FACD54" w14:textId="77777777" w:rsidR="00961965" w:rsidRPr="00755D69" w:rsidRDefault="00961965" w:rsidP="00E70F50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10A3EBE8" w14:textId="77777777" w:rsidR="00961965" w:rsidRPr="00755D69" w:rsidRDefault="00961965" w:rsidP="00E70F50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755D69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7B9DD554" w14:textId="77777777" w:rsidR="00961965" w:rsidRPr="00755D69" w:rsidRDefault="00961965" w:rsidP="00E70F50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</w:t>
            </w:r>
            <w:r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 xml:space="preserve"> </w:t>
            </w:r>
            <w:r w:rsidRPr="00755D69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 xml:space="preserve">to our home, information on current practice, </w:t>
            </w:r>
            <w:proofErr w:type="gramStart"/>
            <w:r w:rsidRPr="00755D69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possible overlap</w:t>
            </w:r>
            <w:proofErr w:type="gramEnd"/>
            <w:r w:rsidRPr="00755D69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 xml:space="preserve"> with other programs or partners)</w:t>
            </w:r>
          </w:p>
        </w:tc>
      </w:tr>
      <w:tr w:rsidR="00961965" w:rsidRPr="00755D69" w14:paraId="6B48E97B" w14:textId="77777777" w:rsidTr="00E70F50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BE5F1" w:themeFill="accent1" w:themeFillTint="33"/>
          </w:tcPr>
          <w:p w14:paraId="41D38959" w14:textId="77777777" w:rsidR="00961965" w:rsidRPr="00755D69" w:rsidRDefault="00961965" w:rsidP="00E70F50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 xml:space="preserve">Screening and assessment </w:t>
            </w:r>
          </w:p>
        </w:tc>
      </w:tr>
      <w:tr w:rsidR="00961965" w:rsidRPr="00755D69" w14:paraId="42A954BC" w14:textId="77777777" w:rsidTr="00E70F50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731FED4" w14:textId="77777777" w:rsidR="00961965" w:rsidRPr="000004C1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004C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Good practice statement 1.0:</w:t>
            </w:r>
          </w:p>
          <w:p w14:paraId="040A01A2" w14:textId="0347832D" w:rsidR="00961965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004C1">
              <w:rPr>
                <w:rFonts w:asciiTheme="minorHAnsi" w:hAnsiTheme="minorHAnsi" w:cstheme="minorHAnsi"/>
                <w:sz w:val="22"/>
                <w:szCs w:val="22"/>
              </w:rPr>
              <w:t>It is good practice for all health providers to conduct initial and ongoing screening and assessment for pain with people in their care. Pain assessment includes a comprehensive, evidence-based assessment using a person- and family-centred care approach.</w:t>
            </w:r>
          </w:p>
          <w:p w14:paraId="3F92C1D7" w14:textId="5E8CB13A" w:rsidR="00961965" w:rsidRPr="00826CEA" w:rsidRDefault="00961965" w:rsidP="00826CEA">
            <w:pPr>
              <w:spacing w:after="160" w:line="259" w:lineRule="auto"/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</w:pPr>
            <w:r w:rsidRPr="00961965"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  <w:t xml:space="preserve">Strength of the recommendation: Not applicable 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C2319BD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99F502F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FD403E7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3A66CD1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61965" w:rsidRPr="0082493D" w14:paraId="13D1A98A" w14:textId="77777777" w:rsidTr="00E70F50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BE5F1" w:themeFill="accent1" w:themeFillTint="33"/>
          </w:tcPr>
          <w:p w14:paraId="75247CB9" w14:textId="77777777" w:rsidR="00961965" w:rsidRPr="00626438" w:rsidRDefault="00961965" w:rsidP="00626438">
            <w:pPr>
              <w:rPr>
                <w:rFonts w:asciiTheme="minorHAnsi" w:hAnsiTheme="minorHAnsi"/>
                <w:b/>
                <w:bCs/>
              </w:rPr>
            </w:pPr>
            <w:r w:rsidRPr="00626438">
              <w:rPr>
                <w:rFonts w:asciiTheme="minorHAnsi" w:hAnsiTheme="minorHAnsi"/>
                <w:b/>
                <w:bCs/>
              </w:rPr>
              <w:t xml:space="preserve">Management </w:t>
            </w:r>
          </w:p>
        </w:tc>
      </w:tr>
      <w:tr w:rsidR="00961965" w:rsidRPr="00755D69" w14:paraId="24C5BDF1" w14:textId="77777777" w:rsidTr="00E70F50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D61CF00" w14:textId="77777777" w:rsidR="00961965" w:rsidRPr="00626438" w:rsidRDefault="00961965" w:rsidP="00E70F50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b/>
                <w:bCs/>
                <w:sz w:val="22"/>
                <w:szCs w:val="22"/>
              </w:rPr>
              <w:t>Good practice statement 2.0:</w:t>
            </w:r>
          </w:p>
          <w:p w14:paraId="5C4F11DC" w14:textId="77777777" w:rsidR="00961965" w:rsidRPr="00626438" w:rsidRDefault="00961965" w:rsidP="00E70F50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sz w:val="22"/>
                <w:szCs w:val="22"/>
              </w:rPr>
              <w:t xml:space="preserve">It is good practice to provide an integrative approach to pain prevention, </w:t>
            </w:r>
            <w:proofErr w:type="gramStart"/>
            <w:r w:rsidRPr="00626438">
              <w:rPr>
                <w:rFonts w:ascii="Calibri" w:hAnsi="Calibri" w:cs="Calibri"/>
                <w:sz w:val="22"/>
                <w:szCs w:val="22"/>
              </w:rPr>
              <w:t>assessment</w:t>
            </w:r>
            <w:proofErr w:type="gramEnd"/>
            <w:r w:rsidRPr="00626438">
              <w:rPr>
                <w:rFonts w:ascii="Calibri" w:hAnsi="Calibri" w:cs="Calibri"/>
                <w:sz w:val="22"/>
                <w:szCs w:val="22"/>
              </w:rPr>
              <w:t xml:space="preserve"> and management. An integrative approach (i.e., non-pharmacological and/or pharmacological strategies) includes individualized, person- and family-centred care.</w:t>
            </w:r>
          </w:p>
          <w:p w14:paraId="487B452A" w14:textId="5677F967" w:rsidR="00961965" w:rsidRPr="00626438" w:rsidRDefault="00961965" w:rsidP="00826CEA">
            <w:pPr>
              <w:spacing w:after="160" w:line="259" w:lineRule="auto"/>
              <w:rPr>
                <w:rFonts w:ascii="Calibri" w:hAnsi="Calibri" w:cs="Calibri"/>
                <w:color w:val="365F91" w:themeColor="accent1" w:themeShade="BF"/>
                <w:sz w:val="22"/>
                <w:szCs w:val="22"/>
              </w:rPr>
            </w:pPr>
            <w:r w:rsidRPr="00626438">
              <w:rPr>
                <w:rFonts w:ascii="Calibri" w:hAnsi="Calibri" w:cs="Calibri"/>
                <w:color w:val="365F91" w:themeColor="accent1" w:themeShade="BF"/>
                <w:sz w:val="22"/>
                <w:szCs w:val="22"/>
              </w:rPr>
              <w:t xml:space="preserve">Strength of the recommendation: Not applicable 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C19495B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11FED85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0E7C968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7265633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61965" w:rsidRPr="00FE34D3" w14:paraId="1D0F8863" w14:textId="77777777" w:rsidTr="00E70F50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BE5F1" w:themeFill="accent1" w:themeFillTint="33"/>
          </w:tcPr>
          <w:p w14:paraId="5114911B" w14:textId="77777777" w:rsidR="00961965" w:rsidRPr="00626438" w:rsidRDefault="00961965" w:rsidP="00626438">
            <w:pPr>
              <w:rPr>
                <w:rFonts w:ascii="Calibri" w:hAnsi="Calibri" w:cs="Calibri"/>
                <w:b/>
                <w:bCs/>
              </w:rPr>
            </w:pPr>
            <w:r w:rsidRPr="00626438">
              <w:rPr>
                <w:rFonts w:ascii="Calibri" w:hAnsi="Calibri" w:cs="Calibri"/>
                <w:b/>
                <w:bCs/>
              </w:rPr>
              <w:t xml:space="preserve">Interprofessional practice </w:t>
            </w:r>
          </w:p>
        </w:tc>
      </w:tr>
      <w:tr w:rsidR="00961965" w:rsidRPr="00755D69" w14:paraId="631BE6F8" w14:textId="77777777" w:rsidTr="00E70F50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7EFEDB1" w14:textId="77777777" w:rsidR="00961965" w:rsidRPr="00626438" w:rsidRDefault="00961965" w:rsidP="00E70F50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b/>
                <w:bCs/>
                <w:sz w:val="22"/>
                <w:szCs w:val="22"/>
              </w:rPr>
              <w:t>Good practice statement 3.0:</w:t>
            </w:r>
          </w:p>
          <w:p w14:paraId="4A7E9430" w14:textId="0389C702" w:rsidR="00961965" w:rsidRPr="00626438" w:rsidRDefault="00961965" w:rsidP="00E70F50">
            <w:pPr>
              <w:autoSpaceDE w:val="0"/>
              <w:autoSpaceDN w:val="0"/>
              <w:adjustRightInd w:val="0"/>
              <w:ind w:left="22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sz w:val="22"/>
                <w:szCs w:val="22"/>
              </w:rPr>
              <w:t xml:space="preserve">It is good practice for health service organizations and health systems to implement an interprofessional practice approach to pain prevention, </w:t>
            </w:r>
            <w:r w:rsidR="005C7F22" w:rsidRPr="00626438">
              <w:rPr>
                <w:rFonts w:ascii="Calibri" w:hAnsi="Calibri" w:cs="Calibri"/>
                <w:sz w:val="22"/>
                <w:szCs w:val="22"/>
              </w:rPr>
              <w:t>assessment,</w:t>
            </w:r>
            <w:r w:rsidRPr="00626438">
              <w:rPr>
                <w:rFonts w:ascii="Calibri" w:hAnsi="Calibri" w:cs="Calibri"/>
                <w:sz w:val="22"/>
                <w:szCs w:val="22"/>
              </w:rPr>
              <w:t xml:space="preserve"> and management. </w:t>
            </w:r>
          </w:p>
          <w:p w14:paraId="4892D2A7" w14:textId="3AF01901" w:rsidR="00961965" w:rsidRPr="00626438" w:rsidRDefault="00961965" w:rsidP="00626438">
            <w:pPr>
              <w:spacing w:after="160" w:line="259" w:lineRule="auto"/>
              <w:rPr>
                <w:rFonts w:ascii="Calibri" w:hAnsi="Calibri" w:cs="Calibri"/>
                <w:color w:val="365F91" w:themeColor="accent1" w:themeShade="BF"/>
                <w:sz w:val="22"/>
                <w:szCs w:val="22"/>
              </w:rPr>
            </w:pPr>
            <w:r w:rsidRPr="00626438">
              <w:rPr>
                <w:rFonts w:ascii="Calibri" w:hAnsi="Calibri" w:cs="Calibri"/>
                <w:color w:val="365F91" w:themeColor="accent1" w:themeShade="BF"/>
                <w:sz w:val="22"/>
                <w:szCs w:val="22"/>
              </w:rPr>
              <w:t xml:space="preserve">Strength of the recommendation: Not applicable 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3A8250A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4A1B857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B29B4EC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A0EC157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61965" w:rsidRPr="00755D69" w14:paraId="6CAE6D8E" w14:textId="77777777" w:rsidTr="00056CF5">
        <w:trPr>
          <w:trHeight w:val="638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BE5F1" w:themeFill="accent1" w:themeFillTint="33"/>
          </w:tcPr>
          <w:p w14:paraId="4078930F" w14:textId="77777777" w:rsidR="00961965" w:rsidRPr="00626438" w:rsidRDefault="00961965" w:rsidP="00E70F50">
            <w:pPr>
              <w:spacing w:after="160" w:line="259" w:lineRule="auto"/>
              <w:rPr>
                <w:rFonts w:ascii="Calibri" w:hAnsi="Calibri" w:cs="Calibri"/>
                <w:sz w:val="20"/>
                <w:szCs w:val="22"/>
              </w:rPr>
            </w:pPr>
            <w:r w:rsidRPr="00626438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Recommendation question #1</w:t>
            </w:r>
            <w:r w:rsidRPr="00626438">
              <w:rPr>
                <w:rFonts w:ascii="Calibri" w:hAnsi="Calibri" w:cs="Calibri"/>
                <w:sz w:val="22"/>
                <w:szCs w:val="22"/>
              </w:rPr>
              <w:t>:</w:t>
            </w:r>
            <w:r w:rsidRPr="00626438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  <w:r w:rsidRPr="00626438">
              <w:rPr>
                <w:rFonts w:ascii="Calibri" w:hAnsi="Calibri" w:cs="Calibri"/>
                <w:sz w:val="22"/>
                <w:szCs w:val="22"/>
              </w:rPr>
              <w:t xml:space="preserve">Should organizational or health system implementation of a specialized interprofessional pain care team </w:t>
            </w:r>
            <w:proofErr w:type="gramStart"/>
            <w:r w:rsidRPr="00626438">
              <w:rPr>
                <w:rFonts w:ascii="Calibri" w:hAnsi="Calibri" w:cs="Calibri"/>
                <w:sz w:val="22"/>
                <w:szCs w:val="22"/>
              </w:rPr>
              <w:t>be recommended</w:t>
            </w:r>
            <w:proofErr w:type="gramEnd"/>
            <w:r w:rsidRPr="00626438">
              <w:rPr>
                <w:rFonts w:ascii="Calibri" w:hAnsi="Calibri" w:cs="Calibri"/>
                <w:sz w:val="22"/>
                <w:szCs w:val="22"/>
              </w:rPr>
              <w:t xml:space="preserve"> or not? </w:t>
            </w:r>
          </w:p>
        </w:tc>
      </w:tr>
      <w:tr w:rsidR="00961965" w:rsidRPr="00755D69" w14:paraId="23EBA8BB" w14:textId="77777777" w:rsidTr="00E70F50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AADC8E2" w14:textId="77777777" w:rsidR="00961965" w:rsidRPr="00626438" w:rsidRDefault="00961965" w:rsidP="00E70F50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b/>
                <w:bCs/>
                <w:sz w:val="22"/>
                <w:szCs w:val="22"/>
              </w:rPr>
              <w:t>Recommendation 1.0:</w:t>
            </w:r>
          </w:p>
          <w:p w14:paraId="50B0B5F5" w14:textId="77777777" w:rsidR="00826CEA" w:rsidRPr="00626438" w:rsidRDefault="00961965" w:rsidP="00E70F50">
            <w:pPr>
              <w:autoSpaceDE w:val="0"/>
              <w:autoSpaceDN w:val="0"/>
              <w:adjustRightInd w:val="0"/>
              <w:ind w:left="398" w:hanging="398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sz w:val="22"/>
                <w:szCs w:val="22"/>
              </w:rPr>
              <w:t xml:space="preserve">The expert panel suggests that health </w:t>
            </w:r>
            <w:proofErr w:type="gramStart"/>
            <w:r w:rsidRPr="00626438">
              <w:rPr>
                <w:rFonts w:ascii="Calibri" w:hAnsi="Calibri" w:cs="Calibri"/>
                <w:sz w:val="22"/>
                <w:szCs w:val="22"/>
              </w:rPr>
              <w:t>service</w:t>
            </w:r>
            <w:proofErr w:type="gramEnd"/>
          </w:p>
          <w:p w14:paraId="4E94E023" w14:textId="77777777" w:rsidR="00B035E1" w:rsidRPr="00626438" w:rsidRDefault="00961965" w:rsidP="00E70F50">
            <w:pPr>
              <w:autoSpaceDE w:val="0"/>
              <w:autoSpaceDN w:val="0"/>
              <w:adjustRightInd w:val="0"/>
              <w:ind w:left="398" w:hanging="398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sz w:val="22"/>
                <w:szCs w:val="22"/>
              </w:rPr>
              <w:t>organizations provide access to a specialized</w:t>
            </w:r>
          </w:p>
          <w:p w14:paraId="4DB92AEE" w14:textId="77777777" w:rsidR="00B035E1" w:rsidRPr="00626438" w:rsidRDefault="00961965" w:rsidP="00E70F50">
            <w:pPr>
              <w:autoSpaceDE w:val="0"/>
              <w:autoSpaceDN w:val="0"/>
              <w:adjustRightInd w:val="0"/>
              <w:ind w:left="398" w:hanging="398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sz w:val="22"/>
                <w:szCs w:val="22"/>
              </w:rPr>
              <w:t>interprofessional pain care team for the prevention,</w:t>
            </w:r>
          </w:p>
          <w:p w14:paraId="335C9E1B" w14:textId="77777777" w:rsidR="00B035E1" w:rsidRPr="00626438" w:rsidRDefault="00961965" w:rsidP="00E70F50">
            <w:pPr>
              <w:autoSpaceDE w:val="0"/>
              <w:autoSpaceDN w:val="0"/>
              <w:adjustRightInd w:val="0"/>
              <w:ind w:left="398" w:hanging="398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sz w:val="22"/>
                <w:szCs w:val="22"/>
              </w:rPr>
              <w:t>assessment and management of pain for people</w:t>
            </w:r>
          </w:p>
          <w:p w14:paraId="7800804E" w14:textId="41C811B8" w:rsidR="00961965" w:rsidRPr="00626438" w:rsidRDefault="00961965" w:rsidP="00E70F50">
            <w:pPr>
              <w:autoSpaceDE w:val="0"/>
              <w:autoSpaceDN w:val="0"/>
              <w:adjustRightInd w:val="0"/>
              <w:ind w:left="398" w:hanging="398"/>
              <w:rPr>
                <w:rFonts w:ascii="Calibri" w:hAnsi="Calibri" w:cs="Calibri"/>
                <w:sz w:val="22"/>
                <w:szCs w:val="22"/>
              </w:rPr>
            </w:pPr>
            <w:r w:rsidRPr="00626438">
              <w:rPr>
                <w:rFonts w:ascii="Calibri" w:hAnsi="Calibri" w:cs="Calibri"/>
                <w:sz w:val="22"/>
                <w:szCs w:val="22"/>
              </w:rPr>
              <w:t>experiencing acute or chronic pain.</w:t>
            </w:r>
          </w:p>
          <w:p w14:paraId="46473A6E" w14:textId="77777777" w:rsidR="00961965" w:rsidRPr="00626438" w:rsidRDefault="00961965" w:rsidP="00E70F50">
            <w:pPr>
              <w:autoSpaceDE w:val="0"/>
              <w:autoSpaceDN w:val="0"/>
              <w:adjustRightInd w:val="0"/>
              <w:ind w:left="398" w:hanging="398"/>
              <w:rPr>
                <w:rFonts w:ascii="Calibri" w:hAnsi="Calibri" w:cs="Calibri"/>
                <w:sz w:val="22"/>
                <w:szCs w:val="22"/>
              </w:rPr>
            </w:pPr>
          </w:p>
          <w:p w14:paraId="57D704AA" w14:textId="032A389F" w:rsidR="00961965" w:rsidRPr="00626438" w:rsidRDefault="00961965" w:rsidP="00B035E1">
            <w:pPr>
              <w:autoSpaceDE w:val="0"/>
              <w:autoSpaceDN w:val="0"/>
              <w:adjustRightInd w:val="0"/>
              <w:ind w:left="398" w:hanging="398"/>
              <w:rPr>
                <w:rFonts w:ascii="Calibri" w:hAnsi="Calibri" w:cs="Calibri"/>
                <w:color w:val="365F91" w:themeColor="accent1" w:themeShade="BF"/>
                <w:sz w:val="22"/>
                <w:szCs w:val="22"/>
              </w:rPr>
            </w:pPr>
            <w:r w:rsidRPr="00626438">
              <w:rPr>
                <w:rFonts w:ascii="Calibri" w:hAnsi="Calibri" w:cs="Calibri"/>
                <w:color w:val="365F91" w:themeColor="accent1" w:themeShade="BF"/>
                <w:sz w:val="22"/>
                <w:szCs w:val="22"/>
              </w:rPr>
              <w:t xml:space="preserve">Strength of the recommendation: Conditional 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EDAC2F3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975D245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81093C9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F023D04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61965" w14:paraId="10D34C9D" w14:textId="77777777" w:rsidTr="00961965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BE5F1" w:themeFill="accent1" w:themeFillTint="33"/>
          </w:tcPr>
          <w:p w14:paraId="22B4E574" w14:textId="77777777" w:rsidR="00961965" w:rsidRPr="00B035E1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Recommendation question #1</w:t>
            </w: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B035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 xml:space="preserve">Should organizational or health system implementation of a specialized interprofessional pain care team be recommended or not? </w:t>
            </w:r>
          </w:p>
        </w:tc>
      </w:tr>
      <w:tr w:rsidR="00961965" w:rsidRPr="00FE34D3" w14:paraId="42BCBC2F" w14:textId="77777777" w:rsidTr="00E70F50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BE5F1" w:themeFill="accent1" w:themeFillTint="33"/>
          </w:tcPr>
          <w:p w14:paraId="152EE2BA" w14:textId="77777777" w:rsidR="00961965" w:rsidRPr="00B035E1" w:rsidRDefault="00961965" w:rsidP="00B035E1">
            <w:pPr>
              <w:rPr>
                <w:rFonts w:asciiTheme="minorHAnsi" w:hAnsiTheme="minorHAnsi"/>
                <w:b/>
                <w:bCs/>
              </w:rPr>
            </w:pPr>
            <w:r w:rsidRPr="00B035E1">
              <w:rPr>
                <w:rFonts w:asciiTheme="minorHAnsi" w:hAnsiTheme="minorHAnsi"/>
                <w:b/>
                <w:bCs/>
              </w:rPr>
              <w:t xml:space="preserve">Education </w:t>
            </w:r>
          </w:p>
        </w:tc>
      </w:tr>
      <w:tr w:rsidR="00961965" w:rsidRPr="00755D69" w14:paraId="6937B575" w14:textId="77777777" w:rsidTr="00E70F50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D8C1CE8" w14:textId="77777777" w:rsidR="00961965" w:rsidRPr="00B035E1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Good practice statement 4.0:</w:t>
            </w:r>
          </w:p>
          <w:p w14:paraId="633DD535" w14:textId="60043CB7" w:rsidR="00961965" w:rsidRPr="00B035E1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>It is good practice for academic institutions to</w:t>
            </w:r>
            <w:r w:rsidR="00B035E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 xml:space="preserve">provide comprehensive education for students entering health professions on pain prevention, </w:t>
            </w:r>
            <w:r w:rsidR="005C7F22" w:rsidRPr="00B035E1">
              <w:rPr>
                <w:rFonts w:asciiTheme="minorHAnsi" w:hAnsiTheme="minorHAnsi" w:cstheme="minorHAnsi"/>
                <w:sz w:val="22"/>
                <w:szCs w:val="22"/>
              </w:rPr>
              <w:t>assessment,</w:t>
            </w: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 xml:space="preserve"> and management.</w:t>
            </w:r>
          </w:p>
          <w:p w14:paraId="08675A09" w14:textId="1EC807E2" w:rsidR="00961965" w:rsidRPr="00B035E1" w:rsidRDefault="00961965" w:rsidP="00B035E1">
            <w:pPr>
              <w:spacing w:after="160" w:line="259" w:lineRule="auto"/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  <w:t xml:space="preserve">Strength of the recommendation: Not applicable 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FF5C436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2754D9F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92F85EF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F31EC00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61965" w:rsidRPr="00FE34D3" w14:paraId="42975B6A" w14:textId="77777777" w:rsidTr="00E70F50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BE5F1" w:themeFill="accent1" w:themeFillTint="33"/>
          </w:tcPr>
          <w:p w14:paraId="19393448" w14:textId="77777777" w:rsidR="00961965" w:rsidRPr="00B035E1" w:rsidRDefault="00961965" w:rsidP="00626438">
            <w:pPr>
              <w:rPr>
                <w:rFonts w:ascii="Calibri" w:hAnsi="Calibri" w:cs="Calibri"/>
                <w:b/>
                <w:bCs/>
                <w:sz w:val="20"/>
                <w:szCs w:val="22"/>
              </w:rPr>
            </w:pPr>
            <w:r w:rsidRPr="00B035E1">
              <w:rPr>
                <w:rFonts w:ascii="Calibri" w:hAnsi="Calibri" w:cs="Calibri"/>
                <w:b/>
                <w:bCs/>
                <w:sz w:val="22"/>
                <w:szCs w:val="22"/>
              </w:rPr>
              <w:t>Recommendation question #2</w:t>
            </w:r>
            <w:r w:rsidRPr="00B035E1">
              <w:rPr>
                <w:rFonts w:ascii="Calibri" w:hAnsi="Calibri" w:cs="Calibri"/>
                <w:sz w:val="22"/>
                <w:szCs w:val="22"/>
              </w:rPr>
              <w:t>: Should interactive education on pain assessment, prevention and management strategies for students entering health professions be recommended or not?</w:t>
            </w:r>
          </w:p>
        </w:tc>
      </w:tr>
      <w:tr w:rsidR="00961965" w:rsidRPr="00755D69" w14:paraId="74803598" w14:textId="77777777" w:rsidTr="00E70F50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39AC042" w14:textId="77777777" w:rsidR="00961965" w:rsidRPr="00B035E1" w:rsidRDefault="00961965" w:rsidP="00E70F50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B035E1">
              <w:rPr>
                <w:rFonts w:ascii="Calibri" w:hAnsi="Calibri" w:cs="Calibri"/>
                <w:b/>
                <w:bCs/>
                <w:sz w:val="22"/>
                <w:szCs w:val="22"/>
              </w:rPr>
              <w:t>Recommendation 2.0:</w:t>
            </w:r>
          </w:p>
          <w:p w14:paraId="22CE7A25" w14:textId="6B0F644A" w:rsidR="00961965" w:rsidRPr="00B035E1" w:rsidRDefault="00961965" w:rsidP="00E70F50">
            <w:pPr>
              <w:spacing w:after="160" w:line="259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035E1">
              <w:rPr>
                <w:rFonts w:ascii="Calibri" w:hAnsi="Calibri" w:cs="Calibri"/>
                <w:sz w:val="22"/>
                <w:szCs w:val="22"/>
              </w:rPr>
              <w:t xml:space="preserve">The expert panel suggests that academic institutions implement interactive education for all students entering health professions on pain prevention, </w:t>
            </w:r>
            <w:r w:rsidR="005C7F22" w:rsidRPr="00B035E1">
              <w:rPr>
                <w:rFonts w:ascii="Calibri" w:hAnsi="Calibri" w:cs="Calibri"/>
                <w:sz w:val="22"/>
                <w:szCs w:val="22"/>
              </w:rPr>
              <w:t>assessment,</w:t>
            </w:r>
            <w:r w:rsidRPr="00B035E1">
              <w:rPr>
                <w:rFonts w:ascii="Calibri" w:hAnsi="Calibri" w:cs="Calibri"/>
                <w:sz w:val="22"/>
                <w:szCs w:val="22"/>
              </w:rPr>
              <w:t xml:space="preserve"> and management.</w:t>
            </w:r>
            <w:r w:rsidRPr="00B035E1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  <w:p w14:paraId="754D5E53" w14:textId="61E4753D" w:rsidR="00961965" w:rsidRPr="00B035E1" w:rsidRDefault="00961965" w:rsidP="00B035E1">
            <w:pPr>
              <w:autoSpaceDE w:val="0"/>
              <w:autoSpaceDN w:val="0"/>
              <w:adjustRightInd w:val="0"/>
              <w:ind w:left="398" w:hanging="398"/>
              <w:rPr>
                <w:rFonts w:ascii="Calibri" w:hAnsi="Calibri" w:cs="Calibri"/>
                <w:color w:val="365F91" w:themeColor="accent1" w:themeShade="BF"/>
                <w:sz w:val="22"/>
                <w:szCs w:val="22"/>
              </w:rPr>
            </w:pPr>
            <w:r w:rsidRPr="00B035E1">
              <w:rPr>
                <w:rFonts w:ascii="Calibri" w:hAnsi="Calibri" w:cs="Calibri"/>
                <w:color w:val="365F91" w:themeColor="accent1" w:themeShade="BF"/>
                <w:sz w:val="22"/>
                <w:szCs w:val="22"/>
              </w:rPr>
              <w:t xml:space="preserve">Strength of the recommendation: Conditional 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4289EBF" w14:textId="77777777" w:rsidR="00961965" w:rsidRPr="00B035E1" w:rsidRDefault="00961965" w:rsidP="00E70F50">
            <w:pPr>
              <w:ind w:left="72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55EE453" w14:textId="77777777" w:rsidR="00961965" w:rsidRPr="00B035E1" w:rsidRDefault="00961965" w:rsidP="00E70F50">
            <w:pPr>
              <w:ind w:left="72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469FCF2" w14:textId="77777777" w:rsidR="00961965" w:rsidRPr="00B035E1" w:rsidRDefault="00961965" w:rsidP="00E70F50">
            <w:pPr>
              <w:ind w:left="72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119C3FB" w14:textId="77777777" w:rsidR="00961965" w:rsidRPr="00B035E1" w:rsidRDefault="00961965" w:rsidP="00E70F50">
            <w:pPr>
              <w:ind w:left="72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961965" w:rsidRPr="00755D69" w14:paraId="17615E62" w14:textId="77777777" w:rsidTr="00E70F50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594F802" w14:textId="77777777" w:rsidR="00961965" w:rsidRPr="00B035E1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Good practice statement 5.0:</w:t>
            </w:r>
          </w:p>
          <w:p w14:paraId="6EFB653A" w14:textId="60F650FD" w:rsidR="00961965" w:rsidRPr="00B035E1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 xml:space="preserve">It is good practice for health service organizations to provide interprofessional and discipline-specific education for all health providers on comprehensive pain prevention, </w:t>
            </w:r>
            <w:r w:rsidR="005C7F22" w:rsidRPr="00B035E1">
              <w:rPr>
                <w:rFonts w:asciiTheme="minorHAnsi" w:hAnsiTheme="minorHAnsi" w:cstheme="minorHAnsi"/>
                <w:sz w:val="22"/>
                <w:szCs w:val="22"/>
              </w:rPr>
              <w:t>assessment,</w:t>
            </w: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 xml:space="preserve"> and management.</w:t>
            </w:r>
          </w:p>
          <w:p w14:paraId="74D3E4AC" w14:textId="77777777" w:rsidR="00B035E1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  <w:t xml:space="preserve">Strength of the recommendation: Not applicable </w:t>
            </w:r>
          </w:p>
          <w:p w14:paraId="445EEB55" w14:textId="77777777" w:rsidR="00B035E1" w:rsidRDefault="00B035E1" w:rsidP="00E70F50">
            <w:pPr>
              <w:spacing w:after="160" w:line="259" w:lineRule="auto"/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</w:pPr>
          </w:p>
          <w:p w14:paraId="3D674FB1" w14:textId="4A10699C" w:rsidR="00B035E1" w:rsidRPr="00B035E1" w:rsidRDefault="00B035E1" w:rsidP="00E70F50">
            <w:pPr>
              <w:spacing w:after="160" w:line="259" w:lineRule="auto"/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F690940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B94AED2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2038E92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D816089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61965" w:rsidRPr="00755D69" w14:paraId="67A6F23E" w14:textId="77777777" w:rsidTr="00E70F50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BE5F1" w:themeFill="accent1" w:themeFillTint="33"/>
          </w:tcPr>
          <w:p w14:paraId="0D6E9DC3" w14:textId="77777777" w:rsidR="00961965" w:rsidRPr="00B035E1" w:rsidRDefault="00961965" w:rsidP="00626438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B035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Recommendation question #3</w:t>
            </w: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>: Should interactive education on pain assessment, prevention and management for health providers be recommended or not?</w:t>
            </w:r>
          </w:p>
        </w:tc>
      </w:tr>
      <w:tr w:rsidR="00961965" w:rsidRPr="00755D69" w14:paraId="06B9B8B8" w14:textId="77777777" w:rsidTr="00E70F50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AA81B67" w14:textId="77777777" w:rsidR="00961965" w:rsidRPr="00B035E1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Recommendation 3.0:</w:t>
            </w:r>
          </w:p>
          <w:p w14:paraId="6E3000F4" w14:textId="32EAC428" w:rsidR="00961965" w:rsidRPr="00B035E1" w:rsidRDefault="00961965" w:rsidP="00E70F50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 xml:space="preserve">The expert panel suggests that health service organizations implement opportunities for interactive education for all health providers on pain prevention, </w:t>
            </w:r>
            <w:r w:rsidR="005C7F22" w:rsidRPr="00B035E1">
              <w:rPr>
                <w:rFonts w:asciiTheme="minorHAnsi" w:hAnsiTheme="minorHAnsi" w:cstheme="minorHAnsi"/>
                <w:sz w:val="22"/>
                <w:szCs w:val="22"/>
              </w:rPr>
              <w:t>assessment,</w:t>
            </w:r>
            <w:r w:rsidRPr="00B035E1">
              <w:rPr>
                <w:rFonts w:asciiTheme="minorHAnsi" w:hAnsiTheme="minorHAnsi" w:cstheme="minorHAnsi"/>
                <w:sz w:val="22"/>
                <w:szCs w:val="22"/>
              </w:rPr>
              <w:t xml:space="preserve"> and management.</w:t>
            </w:r>
          </w:p>
          <w:p w14:paraId="42A175DE" w14:textId="77777777" w:rsidR="00961965" w:rsidRPr="00B035E1" w:rsidRDefault="00961965" w:rsidP="00E70F50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</w:pPr>
            <w:r w:rsidRPr="00B035E1">
              <w:rPr>
                <w:rFonts w:asciiTheme="minorHAnsi" w:hAnsiTheme="minorHAnsi" w:cstheme="minorHAnsi"/>
                <w:color w:val="365F91" w:themeColor="accent1" w:themeShade="BF"/>
                <w:sz w:val="22"/>
                <w:szCs w:val="22"/>
              </w:rPr>
              <w:t xml:space="preserve">Strength of the recommendation: Conditional </w:t>
            </w:r>
          </w:p>
          <w:p w14:paraId="4733AEC6" w14:textId="77777777" w:rsidR="00961965" w:rsidRPr="009F73CF" w:rsidRDefault="00961965" w:rsidP="00E70F50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0004C1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4C4B5B4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97B70B7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F9FEA67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4F06E06" w14:textId="77777777" w:rsidR="00961965" w:rsidRPr="00755D69" w:rsidRDefault="00961965" w:rsidP="00E70F50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5EA59BDC" w14:textId="77777777" w:rsidR="00961965" w:rsidRPr="007E7A0C" w:rsidRDefault="00961965" w:rsidP="00DB218B">
      <w:pPr>
        <w:tabs>
          <w:tab w:val="left" w:pos="4692"/>
        </w:tabs>
        <w:rPr>
          <w:rFonts w:asciiTheme="minorHAnsi" w:hAnsiTheme="minorHAnsi"/>
          <w:sz w:val="4"/>
          <w:szCs w:val="4"/>
        </w:rPr>
      </w:pPr>
    </w:p>
    <w:sectPr w:rsidR="00961965" w:rsidRPr="007E7A0C" w:rsidSect="007E7A0C">
      <w:headerReference w:type="default" r:id="rId18"/>
      <w:headerReference w:type="first" r:id="rId19"/>
      <w:footerReference w:type="first" r:id="rId20"/>
      <w:pgSz w:w="12240" w:h="15840"/>
      <w:pgMar w:top="576" w:right="1008" w:bottom="576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0FF9C" w14:textId="77777777" w:rsidR="004F2DDF" w:rsidRDefault="004F2DDF" w:rsidP="000258AA">
      <w:r>
        <w:separator/>
      </w:r>
    </w:p>
  </w:endnote>
  <w:endnote w:type="continuationSeparator" w:id="0">
    <w:p w14:paraId="228D7F4C" w14:textId="77777777" w:rsidR="004F2DDF" w:rsidRDefault="004F2DDF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7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568DD" w14:textId="56EC4A68" w:rsidR="00805A00" w:rsidRPr="007E7A0C" w:rsidRDefault="00805A00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 w:rsidRPr="007E7A0C">
      <w:rPr>
        <w:rFonts w:asciiTheme="minorHAnsi" w:hAnsiTheme="minorHAnsi"/>
        <w:i/>
        <w:color w:val="006A65"/>
        <w:sz w:val="20"/>
      </w:rPr>
      <w:t xml:space="preserve">Gap Analysis – </w:t>
    </w:r>
    <w:r w:rsidR="00961965">
      <w:rPr>
        <w:rFonts w:asciiTheme="minorHAnsi" w:hAnsiTheme="minorHAnsi"/>
        <w:i/>
        <w:color w:val="006A65"/>
        <w:sz w:val="20"/>
      </w:rPr>
      <w:t xml:space="preserve">February 2025   </w:t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="00961965">
      <w:rPr>
        <w:rFonts w:asciiTheme="minorHAnsi" w:hAnsiTheme="minorHAnsi"/>
        <w:i/>
        <w:color w:val="006A65"/>
        <w:sz w:val="20"/>
      </w:rPr>
      <w:t xml:space="preserve">               </w:t>
    </w:r>
    <w:r w:rsidRPr="007E7A0C">
      <w:rPr>
        <w:rFonts w:asciiTheme="minorHAnsi" w:hAnsiTheme="minorHAnsi"/>
        <w:i/>
        <w:color w:val="006A65"/>
        <w:sz w:val="20"/>
      </w:rPr>
      <w:t xml:space="preserve">Page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 w:rsidR="007C0412">
      <w:rPr>
        <w:rFonts w:asciiTheme="minorHAnsi" w:hAnsiTheme="minorHAnsi"/>
        <w:i/>
        <w:noProof/>
        <w:color w:val="006A65"/>
        <w:sz w:val="20"/>
      </w:rPr>
      <w:t>6</w:t>
    </w:r>
    <w:r w:rsidRPr="007E7A0C">
      <w:rPr>
        <w:rFonts w:asciiTheme="minorHAnsi" w:hAnsiTheme="minorHAnsi"/>
        <w:i/>
        <w:color w:val="006A65"/>
        <w:sz w:val="20"/>
      </w:rPr>
      <w:fldChar w:fldCharType="end"/>
    </w:r>
    <w:r w:rsidRPr="007E7A0C">
      <w:rPr>
        <w:rFonts w:asciiTheme="minorHAnsi" w:hAnsiTheme="minorHAnsi"/>
        <w:i/>
        <w:color w:val="006A65"/>
        <w:sz w:val="20"/>
      </w:rPr>
      <w:t xml:space="preserve"> of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 w:rsidR="007C0412">
      <w:rPr>
        <w:rFonts w:asciiTheme="minorHAnsi" w:hAnsiTheme="minorHAnsi"/>
        <w:i/>
        <w:noProof/>
        <w:color w:val="006A65"/>
        <w:sz w:val="20"/>
      </w:rPr>
      <w:t>7</w:t>
    </w:r>
    <w:r w:rsidRPr="007E7A0C">
      <w:rPr>
        <w:rFonts w:asciiTheme="minorHAnsi" w:hAnsiTheme="minorHAnsi"/>
        <w:i/>
        <w:color w:val="006A6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71EE6" w14:textId="3027B2EE" w:rsidR="00805A00" w:rsidRPr="007E7A0C" w:rsidRDefault="00805A00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 xml:space="preserve">Gap Analysis – </w:t>
    </w:r>
    <w:r w:rsidR="00961965">
      <w:rPr>
        <w:rFonts w:asciiTheme="minorHAnsi" w:hAnsiTheme="minorHAnsi"/>
        <w:i/>
        <w:color w:val="006A65"/>
        <w:sz w:val="20"/>
      </w:rPr>
      <w:t xml:space="preserve">February 2025 </w:t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  <w:t xml:space="preserve">Page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2</w:t>
    </w:r>
    <w:r w:rsidRPr="007E7A0C">
      <w:rPr>
        <w:rFonts w:asciiTheme="minorHAnsi" w:hAnsiTheme="minorHAnsi"/>
        <w:i/>
        <w:color w:val="006A65"/>
        <w:sz w:val="20"/>
      </w:rPr>
      <w:fldChar w:fldCharType="end"/>
    </w:r>
    <w:r w:rsidRPr="007E7A0C">
      <w:rPr>
        <w:rFonts w:asciiTheme="minorHAnsi" w:hAnsiTheme="minorHAnsi"/>
        <w:i/>
        <w:color w:val="006A65"/>
        <w:sz w:val="20"/>
      </w:rPr>
      <w:t xml:space="preserve"> of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7</w:t>
    </w:r>
    <w:r w:rsidRPr="007E7A0C">
      <w:rPr>
        <w:rFonts w:asciiTheme="minorHAnsi" w:hAnsiTheme="minorHAnsi"/>
        <w:i/>
        <w:color w:val="006A65"/>
        <w:sz w:val="20"/>
      </w:rPr>
      <w:fldChar w:fldCharType="end"/>
    </w:r>
  </w:p>
  <w:p w14:paraId="61AD76DB" w14:textId="77777777" w:rsidR="003B0946" w:rsidRDefault="003B0946"/>
  <w:p w14:paraId="78B91B72" w14:textId="77777777" w:rsidR="003B0946" w:rsidRDefault="003B09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F5749" w14:textId="77777777" w:rsidR="004F2DDF" w:rsidRDefault="004F2DDF" w:rsidP="000258AA">
      <w:r>
        <w:separator/>
      </w:r>
    </w:p>
  </w:footnote>
  <w:footnote w:type="continuationSeparator" w:id="0">
    <w:p w14:paraId="66030371" w14:textId="77777777" w:rsidR="004F2DDF" w:rsidRDefault="004F2DDF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F3C14" w14:textId="1670ACA7" w:rsidR="00805A00" w:rsidRPr="007E7A0C" w:rsidRDefault="00805A00" w:rsidP="00503468">
    <w:pPr>
      <w:jc w:val="center"/>
      <w:rPr>
        <w:rFonts w:asciiTheme="minorHAnsi" w:hAnsiTheme="minorHAnsi"/>
        <w:b/>
        <w:color w:val="003366"/>
        <w:szCs w:val="36"/>
      </w:rPr>
    </w:pPr>
    <w:r w:rsidRPr="00AC5292">
      <w:rPr>
        <w:rFonts w:asciiTheme="minorHAnsi" w:hAnsiTheme="minorHAnsi"/>
        <w:b/>
        <w:color w:val="003366"/>
        <w:szCs w:val="36"/>
      </w:rPr>
      <w:t>Gap Analysis</w:t>
    </w:r>
    <w:r>
      <w:rPr>
        <w:rFonts w:asciiTheme="minorHAnsi" w:hAnsiTheme="minorHAnsi"/>
        <w:b/>
        <w:color w:val="003366"/>
        <w:szCs w:val="36"/>
      </w:rPr>
      <w:t>:</w:t>
    </w:r>
    <w:r w:rsidRPr="00AC5292">
      <w:rPr>
        <w:rFonts w:asciiTheme="minorHAnsi" w:hAnsiTheme="minorHAnsi"/>
        <w:b/>
        <w:color w:val="003366"/>
        <w:szCs w:val="36"/>
      </w:rPr>
      <w:t xml:space="preserve"> </w:t>
    </w:r>
    <w:r w:rsidR="00961965">
      <w:rPr>
        <w:rFonts w:asciiTheme="minorHAnsi" w:hAnsiTheme="minorHAnsi"/>
        <w:b/>
        <w:color w:val="003366"/>
        <w:szCs w:val="36"/>
      </w:rPr>
      <w:t xml:space="preserve">Pain: </w:t>
    </w:r>
    <w:r w:rsidR="00CB01FA">
      <w:rPr>
        <w:rFonts w:asciiTheme="minorHAnsi" w:hAnsiTheme="minorHAnsi"/>
        <w:b/>
        <w:i/>
        <w:color w:val="003366"/>
        <w:szCs w:val="36"/>
      </w:rPr>
      <w:t>Prevention, Assessment and Management</w:t>
    </w:r>
    <w:r w:rsidR="00961965">
      <w:rPr>
        <w:rFonts w:asciiTheme="minorHAnsi" w:hAnsiTheme="minorHAnsi"/>
        <w:b/>
        <w:i/>
        <w:color w:val="003366"/>
        <w:szCs w:val="36"/>
      </w:rPr>
      <w:t xml:space="preserve"> BPG</w:t>
    </w:r>
  </w:p>
  <w:p w14:paraId="3077A31C" w14:textId="77777777" w:rsidR="003B0946" w:rsidRDefault="003B0946"/>
  <w:p w14:paraId="3B8A45E2" w14:textId="77777777" w:rsidR="003B0946" w:rsidRDefault="003B09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B6BF7" w14:textId="77777777" w:rsidR="00805A00" w:rsidRPr="007E7A0C" w:rsidRDefault="00805A00" w:rsidP="007E7A0C">
    <w:pPr>
      <w:pStyle w:val="Header"/>
      <w:rPr>
        <w:szCs w:val="36"/>
      </w:rPr>
    </w:pPr>
  </w:p>
  <w:p w14:paraId="7D999F07" w14:textId="77777777" w:rsidR="003B0946" w:rsidRDefault="003B0946"/>
  <w:p w14:paraId="3D46EF89" w14:textId="77777777" w:rsidR="003B0946" w:rsidRDefault="003B09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93205"/>
    <w:multiLevelType w:val="hybridMultilevel"/>
    <w:tmpl w:val="695ECB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6F514A"/>
    <w:multiLevelType w:val="hybridMultilevel"/>
    <w:tmpl w:val="71064DC2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22B70340"/>
    <w:multiLevelType w:val="hybridMultilevel"/>
    <w:tmpl w:val="CD7A7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6A48A7"/>
    <w:multiLevelType w:val="hybridMultilevel"/>
    <w:tmpl w:val="DE54C1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628B3F1C"/>
    <w:multiLevelType w:val="hybridMultilevel"/>
    <w:tmpl w:val="C60095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D00298"/>
    <w:multiLevelType w:val="hybridMultilevel"/>
    <w:tmpl w:val="4B78B41A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7429C"/>
    <w:multiLevelType w:val="hybridMultilevel"/>
    <w:tmpl w:val="2C1A2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57282A"/>
    <w:multiLevelType w:val="hybridMultilevel"/>
    <w:tmpl w:val="FF169A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78B74958"/>
    <w:multiLevelType w:val="hybridMultilevel"/>
    <w:tmpl w:val="09EE63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B7F68"/>
    <w:multiLevelType w:val="hybridMultilevel"/>
    <w:tmpl w:val="0D329E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276428">
    <w:abstractNumId w:val="4"/>
  </w:num>
  <w:num w:numId="2" w16cid:durableId="382221448">
    <w:abstractNumId w:val="12"/>
  </w:num>
  <w:num w:numId="3" w16cid:durableId="1327127673">
    <w:abstractNumId w:val="1"/>
  </w:num>
  <w:num w:numId="4" w16cid:durableId="1224826224">
    <w:abstractNumId w:val="3"/>
  </w:num>
  <w:num w:numId="5" w16cid:durableId="1230731145">
    <w:abstractNumId w:val="9"/>
  </w:num>
  <w:num w:numId="6" w16cid:durableId="1526598143">
    <w:abstractNumId w:val="6"/>
  </w:num>
  <w:num w:numId="7" w16cid:durableId="1605765391">
    <w:abstractNumId w:val="8"/>
  </w:num>
  <w:num w:numId="8" w16cid:durableId="1287198109">
    <w:abstractNumId w:val="5"/>
  </w:num>
  <w:num w:numId="9" w16cid:durableId="1804229705">
    <w:abstractNumId w:val="13"/>
  </w:num>
  <w:num w:numId="10" w16cid:durableId="1459452454">
    <w:abstractNumId w:val="11"/>
  </w:num>
  <w:num w:numId="11" w16cid:durableId="391782055">
    <w:abstractNumId w:val="2"/>
  </w:num>
  <w:num w:numId="12" w16cid:durableId="799805924">
    <w:abstractNumId w:val="15"/>
  </w:num>
  <w:num w:numId="13" w16cid:durableId="785006065">
    <w:abstractNumId w:val="0"/>
  </w:num>
  <w:num w:numId="14" w16cid:durableId="1332609087">
    <w:abstractNumId w:val="16"/>
  </w:num>
  <w:num w:numId="15" w16cid:durableId="1053578041">
    <w:abstractNumId w:val="10"/>
  </w:num>
  <w:num w:numId="16" w16cid:durableId="1441141459">
    <w:abstractNumId w:val="7"/>
  </w:num>
  <w:num w:numId="17" w16cid:durableId="12197024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062C5"/>
    <w:rsid w:val="000258AA"/>
    <w:rsid w:val="0003182E"/>
    <w:rsid w:val="000370C2"/>
    <w:rsid w:val="000408DC"/>
    <w:rsid w:val="000525F3"/>
    <w:rsid w:val="00056CF5"/>
    <w:rsid w:val="00072650"/>
    <w:rsid w:val="00073727"/>
    <w:rsid w:val="00083B8A"/>
    <w:rsid w:val="000902E0"/>
    <w:rsid w:val="000A04C5"/>
    <w:rsid w:val="000B5B39"/>
    <w:rsid w:val="000C5A02"/>
    <w:rsid w:val="000C7254"/>
    <w:rsid w:val="000E2619"/>
    <w:rsid w:val="001054EE"/>
    <w:rsid w:val="0011100A"/>
    <w:rsid w:val="00113891"/>
    <w:rsid w:val="001332EA"/>
    <w:rsid w:val="00134957"/>
    <w:rsid w:val="001466CE"/>
    <w:rsid w:val="00146C93"/>
    <w:rsid w:val="00155594"/>
    <w:rsid w:val="00160EE4"/>
    <w:rsid w:val="0016234D"/>
    <w:rsid w:val="00163B8C"/>
    <w:rsid w:val="001707F7"/>
    <w:rsid w:val="00172D7B"/>
    <w:rsid w:val="00190D76"/>
    <w:rsid w:val="0019352B"/>
    <w:rsid w:val="001A717A"/>
    <w:rsid w:val="001C0753"/>
    <w:rsid w:val="001E40B6"/>
    <w:rsid w:val="001E43D5"/>
    <w:rsid w:val="001F1E41"/>
    <w:rsid w:val="001F4998"/>
    <w:rsid w:val="00216BD6"/>
    <w:rsid w:val="00216D64"/>
    <w:rsid w:val="00223DE8"/>
    <w:rsid w:val="00226FB9"/>
    <w:rsid w:val="00231249"/>
    <w:rsid w:val="00235A13"/>
    <w:rsid w:val="00263FCB"/>
    <w:rsid w:val="00265FB2"/>
    <w:rsid w:val="00267DC3"/>
    <w:rsid w:val="00283305"/>
    <w:rsid w:val="002C5560"/>
    <w:rsid w:val="002C7CB9"/>
    <w:rsid w:val="002D0304"/>
    <w:rsid w:val="002E700C"/>
    <w:rsid w:val="00300EA4"/>
    <w:rsid w:val="0030475F"/>
    <w:rsid w:val="003065D1"/>
    <w:rsid w:val="00347C07"/>
    <w:rsid w:val="0038462B"/>
    <w:rsid w:val="003B0946"/>
    <w:rsid w:val="003B0E6C"/>
    <w:rsid w:val="003C469D"/>
    <w:rsid w:val="003D41AD"/>
    <w:rsid w:val="003E3777"/>
    <w:rsid w:val="003F0E1E"/>
    <w:rsid w:val="003F5E96"/>
    <w:rsid w:val="003F66FB"/>
    <w:rsid w:val="004007BF"/>
    <w:rsid w:val="004265C7"/>
    <w:rsid w:val="0042694C"/>
    <w:rsid w:val="004271AD"/>
    <w:rsid w:val="00442460"/>
    <w:rsid w:val="00442F20"/>
    <w:rsid w:val="00445972"/>
    <w:rsid w:val="0044641F"/>
    <w:rsid w:val="00446643"/>
    <w:rsid w:val="00450EB4"/>
    <w:rsid w:val="00454814"/>
    <w:rsid w:val="00463B0C"/>
    <w:rsid w:val="00465EDB"/>
    <w:rsid w:val="00486F82"/>
    <w:rsid w:val="00490E1B"/>
    <w:rsid w:val="004A1C61"/>
    <w:rsid w:val="004D2AEE"/>
    <w:rsid w:val="004D6C65"/>
    <w:rsid w:val="004E0B29"/>
    <w:rsid w:val="004E49F6"/>
    <w:rsid w:val="004E7BD5"/>
    <w:rsid w:val="004F2DDF"/>
    <w:rsid w:val="00503468"/>
    <w:rsid w:val="0053299C"/>
    <w:rsid w:val="00537385"/>
    <w:rsid w:val="0054439B"/>
    <w:rsid w:val="00544786"/>
    <w:rsid w:val="00556345"/>
    <w:rsid w:val="005605E9"/>
    <w:rsid w:val="00571D89"/>
    <w:rsid w:val="005864E1"/>
    <w:rsid w:val="005B0DCC"/>
    <w:rsid w:val="005B38CF"/>
    <w:rsid w:val="005C7F22"/>
    <w:rsid w:val="005D19E9"/>
    <w:rsid w:val="005D29BB"/>
    <w:rsid w:val="005E0663"/>
    <w:rsid w:val="005E6CA3"/>
    <w:rsid w:val="006055ED"/>
    <w:rsid w:val="00615149"/>
    <w:rsid w:val="00626159"/>
    <w:rsid w:val="00626438"/>
    <w:rsid w:val="00634211"/>
    <w:rsid w:val="00635EB6"/>
    <w:rsid w:val="00636A20"/>
    <w:rsid w:val="0064106C"/>
    <w:rsid w:val="006432B4"/>
    <w:rsid w:val="006444B4"/>
    <w:rsid w:val="00652172"/>
    <w:rsid w:val="00660793"/>
    <w:rsid w:val="006633EF"/>
    <w:rsid w:val="00670243"/>
    <w:rsid w:val="00692F53"/>
    <w:rsid w:val="006936FB"/>
    <w:rsid w:val="0069685D"/>
    <w:rsid w:val="006A29FF"/>
    <w:rsid w:val="006A2CDE"/>
    <w:rsid w:val="006C2719"/>
    <w:rsid w:val="006C4D6D"/>
    <w:rsid w:val="006E7FB1"/>
    <w:rsid w:val="00725209"/>
    <w:rsid w:val="00733639"/>
    <w:rsid w:val="00737F68"/>
    <w:rsid w:val="00746EF4"/>
    <w:rsid w:val="00750ED1"/>
    <w:rsid w:val="0075553D"/>
    <w:rsid w:val="00756E14"/>
    <w:rsid w:val="007600D0"/>
    <w:rsid w:val="00761CBF"/>
    <w:rsid w:val="00762872"/>
    <w:rsid w:val="00771314"/>
    <w:rsid w:val="00776255"/>
    <w:rsid w:val="00784A17"/>
    <w:rsid w:val="00796EE6"/>
    <w:rsid w:val="007A146F"/>
    <w:rsid w:val="007A2C7B"/>
    <w:rsid w:val="007A7091"/>
    <w:rsid w:val="007C0412"/>
    <w:rsid w:val="007D171B"/>
    <w:rsid w:val="007D1C17"/>
    <w:rsid w:val="007E01C6"/>
    <w:rsid w:val="007E7A0C"/>
    <w:rsid w:val="00800D8E"/>
    <w:rsid w:val="00801400"/>
    <w:rsid w:val="00805A00"/>
    <w:rsid w:val="00826CEA"/>
    <w:rsid w:val="00827A21"/>
    <w:rsid w:val="008346C9"/>
    <w:rsid w:val="00836B47"/>
    <w:rsid w:val="00840731"/>
    <w:rsid w:val="008424C6"/>
    <w:rsid w:val="00860D5A"/>
    <w:rsid w:val="00862016"/>
    <w:rsid w:val="0086205F"/>
    <w:rsid w:val="008819FE"/>
    <w:rsid w:val="00884571"/>
    <w:rsid w:val="008B7772"/>
    <w:rsid w:val="008C13B6"/>
    <w:rsid w:val="008C609C"/>
    <w:rsid w:val="00913C86"/>
    <w:rsid w:val="00937A31"/>
    <w:rsid w:val="00944CE2"/>
    <w:rsid w:val="009541AE"/>
    <w:rsid w:val="00961965"/>
    <w:rsid w:val="009634CC"/>
    <w:rsid w:val="00963734"/>
    <w:rsid w:val="009763AB"/>
    <w:rsid w:val="00980D3B"/>
    <w:rsid w:val="009858B8"/>
    <w:rsid w:val="00994214"/>
    <w:rsid w:val="00995B62"/>
    <w:rsid w:val="00996CA8"/>
    <w:rsid w:val="009A1193"/>
    <w:rsid w:val="009B1479"/>
    <w:rsid w:val="009B4C17"/>
    <w:rsid w:val="009D05B6"/>
    <w:rsid w:val="009D1EE9"/>
    <w:rsid w:val="009E069D"/>
    <w:rsid w:val="009E253F"/>
    <w:rsid w:val="009E484A"/>
    <w:rsid w:val="009E6EC8"/>
    <w:rsid w:val="009F2DC7"/>
    <w:rsid w:val="009F78A6"/>
    <w:rsid w:val="00A10D6E"/>
    <w:rsid w:val="00A2391A"/>
    <w:rsid w:val="00A262E4"/>
    <w:rsid w:val="00A41612"/>
    <w:rsid w:val="00A46620"/>
    <w:rsid w:val="00A74DB0"/>
    <w:rsid w:val="00A74DD9"/>
    <w:rsid w:val="00A86E49"/>
    <w:rsid w:val="00A87ACA"/>
    <w:rsid w:val="00A91946"/>
    <w:rsid w:val="00A94D0B"/>
    <w:rsid w:val="00AC2FE1"/>
    <w:rsid w:val="00AC5292"/>
    <w:rsid w:val="00AC761B"/>
    <w:rsid w:val="00AD0A3C"/>
    <w:rsid w:val="00AE041F"/>
    <w:rsid w:val="00AF5CC4"/>
    <w:rsid w:val="00AF7C44"/>
    <w:rsid w:val="00B035E1"/>
    <w:rsid w:val="00B05989"/>
    <w:rsid w:val="00B106E8"/>
    <w:rsid w:val="00B10A2E"/>
    <w:rsid w:val="00B1100E"/>
    <w:rsid w:val="00B142D4"/>
    <w:rsid w:val="00B16296"/>
    <w:rsid w:val="00B252BC"/>
    <w:rsid w:val="00B27C3B"/>
    <w:rsid w:val="00B33313"/>
    <w:rsid w:val="00B50338"/>
    <w:rsid w:val="00B54618"/>
    <w:rsid w:val="00B54B02"/>
    <w:rsid w:val="00B77EF9"/>
    <w:rsid w:val="00B959F6"/>
    <w:rsid w:val="00B9727C"/>
    <w:rsid w:val="00BA52D3"/>
    <w:rsid w:val="00BA5F69"/>
    <w:rsid w:val="00BA7425"/>
    <w:rsid w:val="00BC4A2E"/>
    <w:rsid w:val="00BF257F"/>
    <w:rsid w:val="00BF33A7"/>
    <w:rsid w:val="00C00D03"/>
    <w:rsid w:val="00C03EEE"/>
    <w:rsid w:val="00C2321B"/>
    <w:rsid w:val="00C2452C"/>
    <w:rsid w:val="00C3172B"/>
    <w:rsid w:val="00C441BA"/>
    <w:rsid w:val="00C6542D"/>
    <w:rsid w:val="00C7304B"/>
    <w:rsid w:val="00C74998"/>
    <w:rsid w:val="00C756A8"/>
    <w:rsid w:val="00CA01D6"/>
    <w:rsid w:val="00CB01FA"/>
    <w:rsid w:val="00CB7A6E"/>
    <w:rsid w:val="00CC4501"/>
    <w:rsid w:val="00CD0E32"/>
    <w:rsid w:val="00CE5E7B"/>
    <w:rsid w:val="00CF246B"/>
    <w:rsid w:val="00D12ACF"/>
    <w:rsid w:val="00D142A4"/>
    <w:rsid w:val="00D33080"/>
    <w:rsid w:val="00D52490"/>
    <w:rsid w:val="00D538B5"/>
    <w:rsid w:val="00D627B3"/>
    <w:rsid w:val="00D84AE7"/>
    <w:rsid w:val="00D91359"/>
    <w:rsid w:val="00D91E17"/>
    <w:rsid w:val="00D94206"/>
    <w:rsid w:val="00DA2560"/>
    <w:rsid w:val="00DB0052"/>
    <w:rsid w:val="00DB218B"/>
    <w:rsid w:val="00DB3B98"/>
    <w:rsid w:val="00DB3E78"/>
    <w:rsid w:val="00DB7A41"/>
    <w:rsid w:val="00DC66A7"/>
    <w:rsid w:val="00DD3B19"/>
    <w:rsid w:val="00DD75A7"/>
    <w:rsid w:val="00DE0F2F"/>
    <w:rsid w:val="00DE3925"/>
    <w:rsid w:val="00DE4943"/>
    <w:rsid w:val="00DE6BAB"/>
    <w:rsid w:val="00DE7C20"/>
    <w:rsid w:val="00DF1463"/>
    <w:rsid w:val="00E07744"/>
    <w:rsid w:val="00E07E26"/>
    <w:rsid w:val="00E12E1F"/>
    <w:rsid w:val="00E138E2"/>
    <w:rsid w:val="00E1456A"/>
    <w:rsid w:val="00E149BC"/>
    <w:rsid w:val="00E300B5"/>
    <w:rsid w:val="00E46C84"/>
    <w:rsid w:val="00E50205"/>
    <w:rsid w:val="00E7095C"/>
    <w:rsid w:val="00E70AA4"/>
    <w:rsid w:val="00E71942"/>
    <w:rsid w:val="00E748DD"/>
    <w:rsid w:val="00E76564"/>
    <w:rsid w:val="00E823D7"/>
    <w:rsid w:val="00E82AEE"/>
    <w:rsid w:val="00E911ED"/>
    <w:rsid w:val="00E944D9"/>
    <w:rsid w:val="00E96AEE"/>
    <w:rsid w:val="00EA0EF8"/>
    <w:rsid w:val="00EA3235"/>
    <w:rsid w:val="00EA6E0C"/>
    <w:rsid w:val="00ED16C8"/>
    <w:rsid w:val="00EF28F6"/>
    <w:rsid w:val="00F0683B"/>
    <w:rsid w:val="00F133A2"/>
    <w:rsid w:val="00F156CD"/>
    <w:rsid w:val="00F374DE"/>
    <w:rsid w:val="00F570EF"/>
    <w:rsid w:val="00F744A8"/>
    <w:rsid w:val="00F766E2"/>
    <w:rsid w:val="00F76816"/>
    <w:rsid w:val="00F915E4"/>
    <w:rsid w:val="00F9170C"/>
    <w:rsid w:val="00F924E3"/>
    <w:rsid w:val="00F96B09"/>
    <w:rsid w:val="00FA566B"/>
    <w:rsid w:val="00FB3475"/>
    <w:rsid w:val="00FC6668"/>
    <w:rsid w:val="00FE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A9860"/>
  <w15:docId w15:val="{0A404651-1D52-40FC-A4A3-8C96062A7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42694C"/>
    <w:pPr>
      <w:ind w:left="720"/>
      <w:contextualSpacing/>
    </w:pPr>
  </w:style>
  <w:style w:type="paragraph" w:customStyle="1" w:styleId="firstdef-e">
    <w:name w:val="firstdef-e"/>
    <w:basedOn w:val="Normal"/>
    <w:rsid w:val="00AF5CC4"/>
    <w:pPr>
      <w:spacing w:before="100" w:beforeAutospacing="1" w:after="100" w:afterAutospacing="1"/>
    </w:pPr>
  </w:style>
  <w:style w:type="paragraph" w:customStyle="1" w:styleId="Pa10">
    <w:name w:val="Pa10"/>
    <w:basedOn w:val="Normal"/>
    <w:next w:val="Normal"/>
    <w:uiPriority w:val="99"/>
    <w:rsid w:val="00913C86"/>
    <w:pPr>
      <w:autoSpaceDE w:val="0"/>
      <w:autoSpaceDN w:val="0"/>
      <w:adjustRightInd w:val="0"/>
      <w:spacing w:line="201" w:lineRule="atLeast"/>
    </w:pPr>
    <w:rPr>
      <w:rFonts w:ascii="Frutiger 57Cn" w:eastAsia="Calibri" w:hAnsi="Frutiger 57Cn"/>
      <w:lang w:val="en-CA" w:eastAsia="en-CA"/>
    </w:rPr>
  </w:style>
  <w:style w:type="paragraph" w:customStyle="1" w:styleId="Pa11">
    <w:name w:val="Pa11"/>
    <w:basedOn w:val="Normal"/>
    <w:next w:val="Normal"/>
    <w:uiPriority w:val="99"/>
    <w:rsid w:val="007A2C7B"/>
    <w:pPr>
      <w:autoSpaceDE w:val="0"/>
      <w:autoSpaceDN w:val="0"/>
      <w:adjustRightInd w:val="0"/>
      <w:spacing w:line="201" w:lineRule="atLeast"/>
    </w:pPr>
    <w:rPr>
      <w:rFonts w:ascii="Frutiger 55 Roman" w:eastAsia="Calibri" w:hAnsi="Frutiger 55 Roman"/>
      <w:lang w:val="en-CA" w:eastAsia="en-CA"/>
    </w:rPr>
  </w:style>
  <w:style w:type="character" w:customStyle="1" w:styleId="A16">
    <w:name w:val="A16"/>
    <w:uiPriority w:val="99"/>
    <w:rsid w:val="00073727"/>
    <w:rPr>
      <w:rFonts w:cs="Frutiger 57Cn"/>
      <w:color w:val="000000"/>
      <w:sz w:val="11"/>
      <w:szCs w:val="11"/>
    </w:rPr>
  </w:style>
  <w:style w:type="character" w:styleId="UnresolvedMention">
    <w:name w:val="Unresolved Mention"/>
    <w:basedOn w:val="DefaultParagraphFont"/>
    <w:uiPriority w:val="99"/>
    <w:semiHidden/>
    <w:unhideWhenUsed/>
    <w:rsid w:val="006A2CD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B01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01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01FA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01FA"/>
    <w:rPr>
      <w:rFonts w:ascii="Times New Roman" w:eastAsia="Times New Roman" w:hAnsi="Times New Roman"/>
      <w:b/>
      <w:bCs/>
      <w:lang w:val="en-US" w:eastAsia="en-US"/>
    </w:rPr>
  </w:style>
  <w:style w:type="paragraph" w:styleId="Revision">
    <w:name w:val="Revision"/>
    <w:hidden/>
    <w:uiPriority w:val="99"/>
    <w:semiHidden/>
    <w:rsid w:val="001054EE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4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nao.ca/ltc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hyperlink" Target="http://www.rnao.ca/ltc" TargetMode="External"/><Relationship Id="rId17" Type="http://schemas.openxmlformats.org/officeDocument/2006/relationships/hyperlink" Target="https://www.ontario.ca/laws/regulation/r2224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ntario.ca/laws/statute/21f39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nao.ca/bpg/leading-change-toolk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rnao.ca/bpg/guidelines/assessment-and-management-pain" TargetMode="External"/><Relationship Id="rId14" Type="http://schemas.openxmlformats.org/officeDocument/2006/relationships/hyperlink" Target="http://ltctoolkit.rnao.c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7835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Susan McRae</cp:lastModifiedBy>
  <cp:revision>2</cp:revision>
  <cp:lastPrinted>2013-12-18T11:09:00Z</cp:lastPrinted>
  <dcterms:created xsi:type="dcterms:W3CDTF">2025-02-19T23:57:00Z</dcterms:created>
  <dcterms:modified xsi:type="dcterms:W3CDTF">2025-02-19T23:57:00Z</dcterms:modified>
</cp:coreProperties>
</file>